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48" w:rsidRPr="00442348" w:rsidRDefault="00442348" w:rsidP="00442348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442348">
        <w:rPr>
          <w:b/>
          <w:sz w:val="44"/>
          <w:szCs w:val="44"/>
        </w:rPr>
        <w:t xml:space="preserve">La Comunitat Valenciana ocupa el décimo puesto en el </w:t>
      </w:r>
      <w:r w:rsidRPr="00442348">
        <w:rPr>
          <w:b/>
          <w:i/>
          <w:sz w:val="44"/>
          <w:szCs w:val="44"/>
        </w:rPr>
        <w:t>ranking</w:t>
      </w:r>
      <w:r w:rsidRPr="00442348">
        <w:rPr>
          <w:b/>
          <w:sz w:val="44"/>
          <w:szCs w:val="44"/>
        </w:rPr>
        <w:t xml:space="preserve"> de talento de las comunidades autónomas </w:t>
      </w:r>
    </w:p>
    <w:p w:rsidR="00442348" w:rsidRDefault="00442348" w:rsidP="00442348">
      <w:pPr>
        <w:spacing w:after="0" w:line="240" w:lineRule="auto"/>
        <w:jc w:val="both"/>
        <w:rPr>
          <w:sz w:val="28"/>
          <w:szCs w:val="28"/>
        </w:rPr>
      </w:pPr>
    </w:p>
    <w:p w:rsidR="00442348" w:rsidRPr="00E748CA" w:rsidRDefault="00442348" w:rsidP="00442348">
      <w:pPr>
        <w:spacing w:after="0" w:line="240" w:lineRule="auto"/>
        <w:jc w:val="center"/>
        <w:rPr>
          <w:sz w:val="28"/>
          <w:szCs w:val="28"/>
        </w:rPr>
      </w:pPr>
      <w:r w:rsidRPr="00E748CA">
        <w:rPr>
          <w:sz w:val="28"/>
          <w:szCs w:val="28"/>
        </w:rPr>
        <w:t xml:space="preserve">La región destaca </w:t>
      </w:r>
      <w:r>
        <w:rPr>
          <w:sz w:val="28"/>
          <w:szCs w:val="28"/>
        </w:rPr>
        <w:t>como líder en educación formal, por el rendimiento de sus universidades, y el elevado gasto público, pero es la penúltima autonomía en capacidad para retener el talento</w:t>
      </w:r>
    </w:p>
    <w:p w:rsidR="00E748CA" w:rsidRDefault="00E748CA" w:rsidP="00F6320B">
      <w:pPr>
        <w:jc w:val="both"/>
        <w:rPr>
          <w:b/>
          <w:sz w:val="20"/>
        </w:rPr>
      </w:pPr>
    </w:p>
    <w:p w:rsidR="00442348" w:rsidRDefault="00442348" w:rsidP="00786FB9">
      <w:pPr>
        <w:spacing w:after="0" w:line="240" w:lineRule="auto"/>
        <w:jc w:val="both"/>
        <w:rPr>
          <w:b/>
        </w:rPr>
      </w:pPr>
    </w:p>
    <w:p w:rsidR="00786FB9" w:rsidRDefault="008C37D6" w:rsidP="00786FB9">
      <w:pPr>
        <w:spacing w:after="0" w:line="240" w:lineRule="auto"/>
        <w:jc w:val="both"/>
      </w:pPr>
      <w:r w:rsidRPr="00786FB9">
        <w:rPr>
          <w:b/>
        </w:rPr>
        <w:t>València</w:t>
      </w:r>
      <w:r w:rsidR="00107D11" w:rsidRPr="00786FB9">
        <w:rPr>
          <w:b/>
        </w:rPr>
        <w:t xml:space="preserve">, </w:t>
      </w:r>
      <w:r w:rsidRPr="00786FB9">
        <w:rPr>
          <w:b/>
        </w:rPr>
        <w:t xml:space="preserve">27 </w:t>
      </w:r>
      <w:r w:rsidR="00200427" w:rsidRPr="00786FB9">
        <w:rPr>
          <w:b/>
        </w:rPr>
        <w:t xml:space="preserve">de </w:t>
      </w:r>
      <w:r w:rsidR="00A80DAB" w:rsidRPr="00786FB9">
        <w:rPr>
          <w:b/>
        </w:rPr>
        <w:t>junio</w:t>
      </w:r>
      <w:r w:rsidR="00107D11" w:rsidRPr="00786FB9">
        <w:rPr>
          <w:b/>
        </w:rPr>
        <w:t xml:space="preserve"> de 2019.</w:t>
      </w:r>
      <w:r w:rsidR="00107D11" w:rsidRPr="00786FB9">
        <w:t xml:space="preserve"> </w:t>
      </w:r>
      <w:r w:rsidR="00A80DAB" w:rsidRPr="00786FB9">
        <w:t>La Comunitat Valenciana</w:t>
      </w:r>
      <w:r w:rsidR="007B45C5" w:rsidRPr="00786FB9">
        <w:t xml:space="preserve"> se sitúa </w:t>
      </w:r>
      <w:r w:rsidRPr="00786FB9">
        <w:t>por debajo de</w:t>
      </w:r>
      <w:r w:rsidR="007B45C5" w:rsidRPr="00786FB9">
        <w:t xml:space="preserve"> la media </w:t>
      </w:r>
      <w:r w:rsidR="00171ADC" w:rsidRPr="00786FB9">
        <w:t xml:space="preserve">española </w:t>
      </w:r>
      <w:r w:rsidR="007B45C5" w:rsidRPr="00786FB9">
        <w:t>en cuanto a sus niveles de talento</w:t>
      </w:r>
      <w:r w:rsidR="00E748CA" w:rsidRPr="00786FB9">
        <w:t xml:space="preserve">, ya que ocupa la </w:t>
      </w:r>
      <w:r w:rsidRPr="00786FB9">
        <w:t xml:space="preserve">décima </w:t>
      </w:r>
      <w:r w:rsidR="00786FB9">
        <w:t>posición en el ra</w:t>
      </w:r>
      <w:r w:rsidR="007B45C5" w:rsidRPr="00786FB9">
        <w:t>nking</w:t>
      </w:r>
      <w:r w:rsidR="00BC6F4C" w:rsidRPr="00786FB9">
        <w:t xml:space="preserve"> de las 17 comunidades autónomas </w:t>
      </w:r>
      <w:r w:rsidR="007B45C5" w:rsidRPr="00786FB9">
        <w:t xml:space="preserve">elaborado por la </w:t>
      </w:r>
      <w:r w:rsidR="007B45C5" w:rsidRPr="00786FB9">
        <w:rPr>
          <w:b/>
        </w:rPr>
        <w:t xml:space="preserve">Fundación </w:t>
      </w:r>
      <w:proofErr w:type="spellStart"/>
      <w:r w:rsidR="007B45C5" w:rsidRPr="00786FB9">
        <w:rPr>
          <w:b/>
        </w:rPr>
        <w:t>Cotec</w:t>
      </w:r>
      <w:proofErr w:type="spellEnd"/>
      <w:r w:rsidR="007B45C5" w:rsidRPr="00786FB9">
        <w:rPr>
          <w:b/>
        </w:rPr>
        <w:t xml:space="preserve"> </w:t>
      </w:r>
      <w:r w:rsidR="007B45C5" w:rsidRPr="00786FB9">
        <w:t>y</w:t>
      </w:r>
      <w:r w:rsidR="007B45C5" w:rsidRPr="00786FB9">
        <w:rPr>
          <w:b/>
        </w:rPr>
        <w:t xml:space="preserve"> </w:t>
      </w:r>
      <w:r w:rsidR="009C3317" w:rsidRPr="00786FB9">
        <w:rPr>
          <w:b/>
        </w:rPr>
        <w:t>el Instituto Valenciano de Investigaciones Económicas (I</w:t>
      </w:r>
      <w:r w:rsidR="00107D11" w:rsidRPr="00786FB9">
        <w:rPr>
          <w:b/>
        </w:rPr>
        <w:t>vie</w:t>
      </w:r>
      <w:r w:rsidR="009C3317" w:rsidRPr="00786FB9">
        <w:rPr>
          <w:b/>
        </w:rPr>
        <w:t>)</w:t>
      </w:r>
      <w:r w:rsidR="009C3317" w:rsidRPr="00786FB9">
        <w:t xml:space="preserve"> </w:t>
      </w:r>
      <w:r w:rsidR="007B45C5" w:rsidRPr="00786FB9">
        <w:t xml:space="preserve">y que </w:t>
      </w:r>
      <w:r w:rsidR="00190425" w:rsidRPr="00786FB9">
        <w:t xml:space="preserve">hoy se ha presentado en la </w:t>
      </w:r>
      <w:r w:rsidR="00190425" w:rsidRPr="00786FB9">
        <w:rPr>
          <w:b/>
        </w:rPr>
        <w:t xml:space="preserve">Fundación </w:t>
      </w:r>
      <w:r w:rsidR="00786FB9">
        <w:rPr>
          <w:b/>
        </w:rPr>
        <w:t>Universidad-Empresa ADEIT de la Universitat de València</w:t>
      </w:r>
      <w:r w:rsidR="00190425" w:rsidRPr="00786FB9">
        <w:t>.</w:t>
      </w:r>
      <w:r w:rsidR="007B45C5" w:rsidRPr="00786FB9">
        <w:t xml:space="preserve"> </w:t>
      </w:r>
    </w:p>
    <w:p w:rsidR="00786FB9" w:rsidRDefault="00786FB9" w:rsidP="00786FB9">
      <w:pPr>
        <w:spacing w:after="0" w:line="240" w:lineRule="auto"/>
        <w:jc w:val="both"/>
      </w:pPr>
    </w:p>
    <w:p w:rsidR="00C85D6B" w:rsidRDefault="00190425" w:rsidP="00786FB9">
      <w:pPr>
        <w:spacing w:after="0" w:line="240" w:lineRule="auto"/>
        <w:jc w:val="both"/>
      </w:pPr>
      <w:r w:rsidRPr="00786FB9">
        <w:t xml:space="preserve">El informe </w:t>
      </w:r>
      <w:r w:rsidRPr="00786FB9">
        <w:rPr>
          <w:i/>
        </w:rPr>
        <w:t>Mapa de talento en España</w:t>
      </w:r>
      <w:r w:rsidR="00A22F7B" w:rsidRPr="00786FB9">
        <w:rPr>
          <w:b/>
          <w:i/>
        </w:rPr>
        <w:t xml:space="preserve">, </w:t>
      </w:r>
      <w:r w:rsidR="00A22F7B" w:rsidRPr="00786FB9">
        <w:t xml:space="preserve">que analiza y compara la capacidad de atraer y retener talento de las 17 comunidades autónomas españolas, </w:t>
      </w:r>
      <w:r w:rsidR="00D676ED" w:rsidRPr="00786FB9">
        <w:t xml:space="preserve">ofrece el primer estudio a nivel regional en el que se ha replicado el </w:t>
      </w:r>
      <w:r w:rsidR="00D676ED" w:rsidRPr="00786FB9">
        <w:rPr>
          <w:i/>
        </w:rPr>
        <w:t>Índice Global de Competitividad en Atracción y Retención del Talento</w:t>
      </w:r>
      <w:r w:rsidR="00D676ED" w:rsidRPr="00786FB9">
        <w:t xml:space="preserve"> (GTCI, por sus siglas en inglés), desarrollado por el Instituto Europeo de Administración de Empresas (INSEAD). </w:t>
      </w:r>
      <w:r w:rsidR="00FF4C6A" w:rsidRPr="00786FB9">
        <w:t xml:space="preserve">El </w:t>
      </w:r>
      <w:r w:rsidR="00C85D6B" w:rsidRPr="00786FB9">
        <w:t xml:space="preserve">índice </w:t>
      </w:r>
      <w:r w:rsidR="00171ADC" w:rsidRPr="00786FB9">
        <w:t xml:space="preserve">global </w:t>
      </w:r>
      <w:r w:rsidR="00C85D6B" w:rsidRPr="00786FB9">
        <w:t>obtenido para cada región</w:t>
      </w:r>
      <w:r w:rsidR="00332462" w:rsidRPr="00786FB9">
        <w:t xml:space="preserve"> (</w:t>
      </w:r>
      <w:r w:rsidR="00E748CA" w:rsidRPr="00786FB9">
        <w:t>4</w:t>
      </w:r>
      <w:r w:rsidR="008C37D6" w:rsidRPr="00786FB9">
        <w:t>2</w:t>
      </w:r>
      <w:r w:rsidR="00E748CA" w:rsidRPr="00786FB9">
        <w:t xml:space="preserve">,2 en el caso de </w:t>
      </w:r>
      <w:r w:rsidR="008C37D6" w:rsidRPr="00786FB9">
        <w:t xml:space="preserve">la Comunitat Valenciana </w:t>
      </w:r>
      <w:r w:rsidR="00171ADC" w:rsidRPr="00786FB9">
        <w:t>y 48,6 para la media española</w:t>
      </w:r>
      <w:r w:rsidR="00332462" w:rsidRPr="00786FB9">
        <w:t>)</w:t>
      </w:r>
      <w:r w:rsidR="00C85D6B" w:rsidRPr="00786FB9">
        <w:t xml:space="preserve"> se construye a partir de 52 indicadores</w:t>
      </w:r>
      <w:r w:rsidR="00171ADC" w:rsidRPr="00786FB9">
        <w:t xml:space="preserve"> que se </w:t>
      </w:r>
      <w:r w:rsidR="00C85D6B" w:rsidRPr="00786FB9">
        <w:t>agrupa</w:t>
      </w:r>
      <w:r w:rsidR="00171ADC" w:rsidRPr="00786FB9">
        <w:t>n</w:t>
      </w:r>
      <w:r w:rsidR="00C85D6B" w:rsidRPr="00786FB9">
        <w:t xml:space="preserve"> en seis pilares fundamentales que condicionan el talento</w:t>
      </w:r>
      <w:r w:rsidR="00171ADC" w:rsidRPr="00786FB9">
        <w:t xml:space="preserve"> de cada región</w:t>
      </w:r>
      <w:r w:rsidR="00C85D6B" w:rsidRPr="00786FB9">
        <w:t xml:space="preserve">: 1. </w:t>
      </w:r>
      <w:r w:rsidR="00171ADC" w:rsidRPr="00786FB9">
        <w:t>F</w:t>
      </w:r>
      <w:r w:rsidR="00786FB9">
        <w:t xml:space="preserve">acilitar, </w:t>
      </w:r>
      <w:r w:rsidR="00C85D6B" w:rsidRPr="00786FB9">
        <w:t xml:space="preserve">2. </w:t>
      </w:r>
      <w:r w:rsidR="00171ADC" w:rsidRPr="00786FB9">
        <w:t>A</w:t>
      </w:r>
      <w:r w:rsidR="00C85D6B" w:rsidRPr="00786FB9">
        <w:t xml:space="preserve">traer,  3. </w:t>
      </w:r>
      <w:r w:rsidR="00171ADC" w:rsidRPr="00786FB9">
        <w:t>C</w:t>
      </w:r>
      <w:r w:rsidR="00C85D6B" w:rsidRPr="00786FB9">
        <w:t>recer</w:t>
      </w:r>
      <w:r w:rsidR="00171ADC" w:rsidRPr="00786FB9">
        <w:t xml:space="preserve">, </w:t>
      </w:r>
      <w:r w:rsidR="00C85D6B" w:rsidRPr="00786FB9">
        <w:t xml:space="preserve">4. </w:t>
      </w:r>
      <w:r w:rsidR="00171ADC" w:rsidRPr="00786FB9">
        <w:t>R</w:t>
      </w:r>
      <w:r w:rsidR="00C85D6B" w:rsidRPr="00786FB9">
        <w:t>etener</w:t>
      </w:r>
      <w:r w:rsidR="00171ADC" w:rsidRPr="00786FB9">
        <w:t xml:space="preserve">, </w:t>
      </w:r>
      <w:r w:rsidR="00C85D6B" w:rsidRPr="00786FB9">
        <w:t xml:space="preserve">5. </w:t>
      </w:r>
      <w:r w:rsidR="00171ADC" w:rsidRPr="00786FB9">
        <w:t>C</w:t>
      </w:r>
      <w:r w:rsidR="00C85D6B" w:rsidRPr="00786FB9">
        <w:t xml:space="preserve">apacidades y vocaciones técnicas y 6. </w:t>
      </w:r>
      <w:r w:rsidR="00171ADC" w:rsidRPr="00786FB9">
        <w:t>C</w:t>
      </w:r>
      <w:r w:rsidR="00C85D6B" w:rsidRPr="00786FB9">
        <w:t xml:space="preserve">onocimiento. </w:t>
      </w:r>
    </w:p>
    <w:p w:rsidR="00786FB9" w:rsidRPr="00786FB9" w:rsidRDefault="00786FB9" w:rsidP="00786FB9">
      <w:pPr>
        <w:spacing w:after="0" w:line="240" w:lineRule="auto"/>
        <w:jc w:val="both"/>
      </w:pPr>
    </w:p>
    <w:p w:rsidR="00786FB9" w:rsidRDefault="008445D8" w:rsidP="00786FB9">
      <w:pPr>
        <w:spacing w:after="0" w:line="240" w:lineRule="auto"/>
        <w:jc w:val="both"/>
      </w:pPr>
      <w:r w:rsidRPr="00786FB9">
        <w:t xml:space="preserve">Los </w:t>
      </w:r>
      <w:r w:rsidR="00190425" w:rsidRPr="00786FB9">
        <w:t>resultados del estudio</w:t>
      </w:r>
      <w:r w:rsidR="008C37D6" w:rsidRPr="00786FB9">
        <w:t xml:space="preserve"> para la Com</w:t>
      </w:r>
      <w:r w:rsidR="00442348">
        <w:t>unitat</w:t>
      </w:r>
      <w:r w:rsidR="00BC6F4C" w:rsidRPr="00786FB9">
        <w:t xml:space="preserve"> Valenciana muestran importantes debilidades especialmente en el pilar Retener, que </w:t>
      </w:r>
      <w:r w:rsidR="00B909E8" w:rsidRPr="00786FB9">
        <w:t xml:space="preserve">incluye aspectos de sostenibilidad y estilo de vida como </w:t>
      </w:r>
      <w:r w:rsidR="00332462" w:rsidRPr="00786FB9">
        <w:t>la</w:t>
      </w:r>
      <w:r w:rsidR="00B909E8" w:rsidRPr="00786FB9">
        <w:t xml:space="preserve"> seguridad personal, la protección del medio ambiente, el número de médicos cada 100.000 habitantes, los niveles de protección social o la contribución del trabajo al sistema de pensiones. </w:t>
      </w:r>
    </w:p>
    <w:p w:rsidR="00786FB9" w:rsidRDefault="00786FB9" w:rsidP="00786FB9">
      <w:pPr>
        <w:spacing w:after="0" w:line="240" w:lineRule="auto"/>
        <w:jc w:val="both"/>
      </w:pPr>
    </w:p>
    <w:p w:rsidR="00C37CAC" w:rsidRPr="00786FB9" w:rsidRDefault="00190425" w:rsidP="00786FB9">
      <w:pPr>
        <w:spacing w:after="0" w:line="240" w:lineRule="auto"/>
        <w:jc w:val="both"/>
      </w:pPr>
      <w:r w:rsidRPr="00786FB9">
        <w:t xml:space="preserve">Según han explicado los autores del informe, </w:t>
      </w:r>
      <w:r w:rsidR="0040792D" w:rsidRPr="00786FB9">
        <w:t xml:space="preserve">los catedráticos de la Universitat de València </w:t>
      </w:r>
      <w:r w:rsidRPr="00786FB9">
        <w:rPr>
          <w:b/>
        </w:rPr>
        <w:t>Matilde Mas</w:t>
      </w:r>
      <w:r w:rsidR="0040792D" w:rsidRPr="00786FB9">
        <w:rPr>
          <w:b/>
        </w:rPr>
        <w:t xml:space="preserve"> </w:t>
      </w:r>
      <w:r w:rsidR="0040792D" w:rsidRPr="00786FB9">
        <w:t>y</w:t>
      </w:r>
      <w:r w:rsidRPr="00786FB9">
        <w:rPr>
          <w:b/>
        </w:rPr>
        <w:t xml:space="preserve"> Javier Quesada </w:t>
      </w:r>
      <w:r w:rsidRPr="00786FB9">
        <w:t>y</w:t>
      </w:r>
      <w:r w:rsidR="0040792D" w:rsidRPr="00786FB9">
        <w:t xml:space="preserve"> el economista del Ivie</w:t>
      </w:r>
      <w:r w:rsidRPr="00786FB9">
        <w:t xml:space="preserve"> </w:t>
      </w:r>
      <w:r w:rsidRPr="00786FB9">
        <w:rPr>
          <w:b/>
        </w:rPr>
        <w:t>Fernando Pascual,</w:t>
      </w:r>
      <w:r w:rsidRPr="00786FB9">
        <w:t xml:space="preserve"> l</w:t>
      </w:r>
      <w:r w:rsidR="00B909E8" w:rsidRPr="00786FB9">
        <w:t>a Comunitat Valenciana se encuentra en penúltima posición, solo por delante de</w:t>
      </w:r>
      <w:r w:rsidR="00332462" w:rsidRPr="00786FB9">
        <w:t xml:space="preserve"> Canarias</w:t>
      </w:r>
      <w:r w:rsidR="00B909E8" w:rsidRPr="00786FB9">
        <w:t>, en capacidad para retener el talento. Tampoco obtiene buenas cualificaciones</w:t>
      </w:r>
      <w:r w:rsidR="00C85D6B" w:rsidRPr="00786FB9">
        <w:t xml:space="preserve"> en</w:t>
      </w:r>
      <w:r w:rsidR="00B909E8" w:rsidRPr="00786FB9">
        <w:t xml:space="preserve"> los</w:t>
      </w:r>
      <w:r w:rsidR="00C85D6B" w:rsidRPr="00786FB9">
        <w:t xml:space="preserve"> ámbitos </w:t>
      </w:r>
      <w:r w:rsidR="00171ADC" w:rsidRPr="00786FB9">
        <w:t xml:space="preserve">relacionados con </w:t>
      </w:r>
      <w:r w:rsidR="00332462" w:rsidRPr="00786FB9">
        <w:t>F</w:t>
      </w:r>
      <w:r w:rsidR="00B909E8" w:rsidRPr="00786FB9">
        <w:t xml:space="preserve">acilitar el talento y que se refieren </w:t>
      </w:r>
      <w:r w:rsidR="00332462" w:rsidRPr="00786FB9">
        <w:t xml:space="preserve">a </w:t>
      </w:r>
      <w:r w:rsidR="00B909E8" w:rsidRPr="00786FB9">
        <w:t>las características del entor</w:t>
      </w:r>
      <w:r w:rsidR="00C37CAC" w:rsidRPr="00786FB9">
        <w:t xml:space="preserve">no regulatorio, de mercado y de negocios y trabajo. La autonomía está por debajo de la media en aspectos como políticas activas de empleo, productividad, infraestructuras TIC, eficacia de la administración o percepción de la corrupción. </w:t>
      </w:r>
    </w:p>
    <w:p w:rsidR="00786FB9" w:rsidRDefault="00786FB9" w:rsidP="00786FB9">
      <w:pPr>
        <w:spacing w:after="0" w:line="240" w:lineRule="auto"/>
        <w:jc w:val="both"/>
      </w:pPr>
    </w:p>
    <w:p w:rsidR="00332462" w:rsidRDefault="00C37CAC" w:rsidP="00786FB9">
      <w:pPr>
        <w:spacing w:after="0" w:line="240" w:lineRule="auto"/>
        <w:jc w:val="both"/>
      </w:pPr>
      <w:r w:rsidRPr="00786FB9">
        <w:t>En los pi</w:t>
      </w:r>
      <w:r w:rsidR="00332462" w:rsidRPr="00786FB9">
        <w:t>lares 5 y 6, que aglutinan las Capacidades técnicas y el C</w:t>
      </w:r>
      <w:r w:rsidRPr="00786FB9">
        <w:t xml:space="preserve">onocimiento, la Comunitat Valenciana también está por debajo </w:t>
      </w:r>
      <w:r w:rsidR="00332462" w:rsidRPr="00786FB9">
        <w:t>del promedio</w:t>
      </w:r>
      <w:r w:rsidRPr="00786FB9">
        <w:t>, ya que se sitúa en ambos casos en la posición décima de las 17 autonomías</w:t>
      </w:r>
      <w:r w:rsidR="00332462" w:rsidRPr="00786FB9">
        <w:t xml:space="preserve"> por sus debilidades en variables como el porcentaje de población con educación superior, la disponibilidad de científicos e ingenieros y de técnicos o la escasa actividad emprendedora de nuevos productos</w:t>
      </w:r>
      <w:r w:rsidRPr="00786FB9">
        <w:t>.</w:t>
      </w:r>
    </w:p>
    <w:p w:rsidR="00786FB9" w:rsidRPr="00786FB9" w:rsidRDefault="00786FB9" w:rsidP="00786FB9">
      <w:pPr>
        <w:spacing w:after="0" w:line="240" w:lineRule="auto"/>
        <w:jc w:val="both"/>
      </w:pPr>
    </w:p>
    <w:p w:rsidR="009448A8" w:rsidRDefault="009448A8" w:rsidP="00786FB9">
      <w:pPr>
        <w:spacing w:after="0" w:line="240" w:lineRule="auto"/>
        <w:jc w:val="both"/>
        <w:rPr>
          <w:b/>
        </w:rPr>
      </w:pPr>
    </w:p>
    <w:p w:rsidR="00A22F7B" w:rsidRPr="00A22F7B" w:rsidRDefault="00442348" w:rsidP="00786FB9">
      <w:pPr>
        <w:spacing w:after="0" w:line="240" w:lineRule="auto"/>
        <w:jc w:val="both"/>
        <w:rPr>
          <w:b/>
        </w:rPr>
      </w:pPr>
      <w:r>
        <w:rPr>
          <w:b/>
        </w:rPr>
        <w:t xml:space="preserve">La </w:t>
      </w:r>
      <w:r w:rsidR="00A22F7B" w:rsidRPr="00A22F7B">
        <w:rPr>
          <w:b/>
        </w:rPr>
        <w:t>Comunitat Valenciana</w:t>
      </w:r>
      <w:r>
        <w:rPr>
          <w:b/>
        </w:rPr>
        <w:t>, a la cabeza en educación formal</w:t>
      </w:r>
    </w:p>
    <w:p w:rsidR="00A22F7B" w:rsidRDefault="00C37CAC" w:rsidP="00786FB9">
      <w:pPr>
        <w:spacing w:after="0" w:line="240" w:lineRule="auto"/>
        <w:jc w:val="both"/>
      </w:pPr>
      <w:r w:rsidRPr="00786FB9">
        <w:t xml:space="preserve">Sin embargo, sí que ocupa un lugar </w:t>
      </w:r>
      <w:r w:rsidR="00A80DAB" w:rsidRPr="00786FB9">
        <w:t>destacado en el caso del pilar C</w:t>
      </w:r>
      <w:r w:rsidRPr="00786FB9">
        <w:t xml:space="preserve">recer, que incluye variables relacionadas con la educación y el acceso a oportunidades de crecimiento. La Comunitat aparece en las primeras posiciones en gasto público en educación superior, rendimiento de sus universidades y uso de las redes virtuales sociales y profesionales. </w:t>
      </w:r>
    </w:p>
    <w:p w:rsidR="00A22F7B" w:rsidRDefault="00A22F7B" w:rsidP="00786FB9">
      <w:pPr>
        <w:spacing w:after="0" w:line="240" w:lineRule="auto"/>
        <w:jc w:val="both"/>
      </w:pPr>
    </w:p>
    <w:p w:rsidR="00BD051D" w:rsidRDefault="00D705E7" w:rsidP="00786FB9">
      <w:pPr>
        <w:spacing w:after="0" w:line="240" w:lineRule="auto"/>
        <w:jc w:val="both"/>
      </w:pPr>
      <w:r w:rsidRPr="00786FB9">
        <w:t>Por último, aunque ligeramente por debajo de la m</w:t>
      </w:r>
      <w:r w:rsidR="00A80DAB" w:rsidRPr="00786FB9">
        <w:t>e</w:t>
      </w:r>
      <w:r w:rsidRPr="00786FB9">
        <w:t>dia, la autonomía ocupa el quinto puesto e</w:t>
      </w:r>
      <w:r w:rsidR="00A80DAB" w:rsidRPr="00786FB9">
        <w:t>n el pilar A</w:t>
      </w:r>
      <w:r w:rsidRPr="00786FB9">
        <w:t xml:space="preserve">traer, que tiene en cuenta tanto </w:t>
      </w:r>
      <w:r w:rsidR="008D7128" w:rsidRPr="00786FB9">
        <w:t xml:space="preserve">el grado de </w:t>
      </w:r>
      <w:r w:rsidR="00163809" w:rsidRPr="00786FB9">
        <w:t>apertura externa (presencia de empresas extranjeras, transferencia d</w:t>
      </w:r>
      <w:r w:rsidR="00E748CA" w:rsidRPr="00786FB9">
        <w:t>e tecnología, migrantes adultos y</w:t>
      </w:r>
      <w:r w:rsidR="00163809" w:rsidRPr="00786FB9">
        <w:t xml:space="preserve"> estudiantes internacionales) como la apertura interna (aceptación de las minorías y los inmigrantes, mujeres universitarias, brecha salarial y oportunidades de liderazgo de las mujeres).</w:t>
      </w:r>
    </w:p>
    <w:p w:rsidR="00786FB9" w:rsidRPr="00786FB9" w:rsidRDefault="00786FB9" w:rsidP="00786FB9">
      <w:pPr>
        <w:spacing w:after="0" w:line="240" w:lineRule="auto"/>
        <w:jc w:val="both"/>
      </w:pPr>
    </w:p>
    <w:p w:rsidR="00D705E7" w:rsidRDefault="00D705E7" w:rsidP="00786FB9">
      <w:pPr>
        <w:spacing w:after="0" w:line="240" w:lineRule="auto"/>
        <w:jc w:val="both"/>
      </w:pPr>
      <w:r w:rsidRPr="00786FB9">
        <w:t xml:space="preserve">El </w:t>
      </w:r>
      <w:r w:rsidR="00E748CA" w:rsidRPr="00786FB9">
        <w:t xml:space="preserve">informe </w:t>
      </w:r>
      <w:r w:rsidRPr="00786FB9">
        <w:t>plantea como propuestas de mejora para la Comunitat Valenciana reducir la brecha entre remuneración y productiv</w:t>
      </w:r>
      <w:r w:rsidR="00A80DAB" w:rsidRPr="00786FB9">
        <w:t>i</w:t>
      </w:r>
      <w:r w:rsidRPr="00786FB9">
        <w:t xml:space="preserve">dad, favorecer la apertura interna a través de un mayor acceso de las mujeres a posiciones de liderazgo, fundamentalmente en el sector privado, y aumentar el gasto en protección social y medioambiental para reforzar el pilar Retener. </w:t>
      </w:r>
    </w:p>
    <w:p w:rsidR="00A22F7B" w:rsidRPr="00786FB9" w:rsidRDefault="00A22F7B" w:rsidP="00786FB9">
      <w:pPr>
        <w:spacing w:after="0" w:line="240" w:lineRule="auto"/>
        <w:jc w:val="both"/>
      </w:pPr>
    </w:p>
    <w:p w:rsidR="00B83683" w:rsidRDefault="00F6320B" w:rsidP="00786FB9">
      <w:pPr>
        <w:spacing w:after="0" w:line="240" w:lineRule="auto"/>
        <w:jc w:val="both"/>
      </w:pPr>
      <w:r w:rsidRPr="00786FB9">
        <w:t>Los resultados regionales de</w:t>
      </w:r>
      <w:r w:rsidR="00FD0D3B" w:rsidRPr="00786FB9">
        <w:t xml:space="preserve"> este primer</w:t>
      </w:r>
      <w:r w:rsidRPr="00786FB9">
        <w:t xml:space="preserve"> </w:t>
      </w:r>
      <w:r w:rsidRPr="00A22F7B">
        <w:t>Mapa de Talento en España</w:t>
      </w:r>
      <w:r w:rsidR="00A22F7B">
        <w:rPr>
          <w:b/>
          <w:i/>
        </w:rPr>
        <w:t xml:space="preserve"> </w:t>
      </w:r>
      <w:r w:rsidR="00B83683" w:rsidRPr="00786FB9">
        <w:t xml:space="preserve">muestran que las </w:t>
      </w:r>
      <w:r w:rsidR="00AD12A2" w:rsidRPr="00786FB9">
        <w:t xml:space="preserve">autonomías </w:t>
      </w:r>
      <w:r w:rsidR="00B83683" w:rsidRPr="00786FB9">
        <w:t>que ostentan las primeras posiciones del ranking global son Madrid</w:t>
      </w:r>
      <w:r w:rsidR="00107D11" w:rsidRPr="00786FB9">
        <w:t>,</w:t>
      </w:r>
      <w:r w:rsidR="00D30D3F" w:rsidRPr="00786FB9">
        <w:t xml:space="preserve"> Comunidad Foral de Navarra, Cataluña y País Vasco.</w:t>
      </w:r>
      <w:r w:rsidR="00107D11" w:rsidRPr="00786FB9">
        <w:t xml:space="preserve"> </w:t>
      </w:r>
      <w:r w:rsidR="00B83683" w:rsidRPr="00786FB9">
        <w:t xml:space="preserve">En el extremo opuesto aparecen Canarias, Castilla-La Mancha, </w:t>
      </w:r>
      <w:r w:rsidR="00D30D3F" w:rsidRPr="00786FB9">
        <w:t xml:space="preserve">Región de Murcia, </w:t>
      </w:r>
      <w:r w:rsidR="00B83683" w:rsidRPr="00786FB9">
        <w:t>Extremadura, y Andalucía</w:t>
      </w:r>
      <w:r w:rsidR="00107D11" w:rsidRPr="00786FB9">
        <w:t xml:space="preserve">. </w:t>
      </w:r>
      <w:r w:rsidR="00B83683" w:rsidRPr="00786FB9">
        <w:t xml:space="preserve">En la zona intermedia del ranking </w:t>
      </w:r>
      <w:r w:rsidR="00B27162" w:rsidRPr="00786FB9">
        <w:t xml:space="preserve">coinciden ocho </w:t>
      </w:r>
      <w:r w:rsidR="00B83683" w:rsidRPr="00786FB9">
        <w:t>aut</w:t>
      </w:r>
      <w:r w:rsidR="00B27162" w:rsidRPr="00786FB9">
        <w:t>onomías</w:t>
      </w:r>
      <w:r w:rsidR="00B83683" w:rsidRPr="00786FB9">
        <w:t xml:space="preserve">: </w:t>
      </w:r>
      <w:r w:rsidR="009B3700" w:rsidRPr="00786FB9">
        <w:t xml:space="preserve">Principado de </w:t>
      </w:r>
      <w:r w:rsidR="00B83683" w:rsidRPr="00786FB9">
        <w:t>Asturias, Aragón,</w:t>
      </w:r>
      <w:r w:rsidR="009B3700" w:rsidRPr="00786FB9">
        <w:t xml:space="preserve"> La Rioja,</w:t>
      </w:r>
      <w:r w:rsidR="00B83683" w:rsidRPr="00786FB9">
        <w:t xml:space="preserve"> Cantabria, Castilla y León, Comunitat Valenciana, Illes Balears</w:t>
      </w:r>
      <w:r w:rsidR="009B3700" w:rsidRPr="00786FB9">
        <w:t xml:space="preserve"> </w:t>
      </w:r>
      <w:r w:rsidR="00B83683" w:rsidRPr="00786FB9">
        <w:t>y Galicia.</w:t>
      </w:r>
    </w:p>
    <w:p w:rsidR="00A22F7B" w:rsidRDefault="00A22F7B" w:rsidP="00786FB9">
      <w:pPr>
        <w:spacing w:after="0" w:line="240" w:lineRule="auto"/>
        <w:jc w:val="both"/>
      </w:pPr>
    </w:p>
    <w:p w:rsidR="00A22F7B" w:rsidRPr="00786FB9" w:rsidRDefault="00A22F7B" w:rsidP="00786FB9">
      <w:pPr>
        <w:spacing w:after="0" w:line="240" w:lineRule="auto"/>
        <w:jc w:val="both"/>
      </w:pPr>
    </w:p>
    <w:p w:rsidR="00107D11" w:rsidRPr="00786FB9" w:rsidRDefault="00107D11" w:rsidP="00786FB9">
      <w:pPr>
        <w:spacing w:after="0" w:line="240" w:lineRule="auto"/>
      </w:pPr>
      <w:r w:rsidRPr="00786FB9">
        <w:rPr>
          <w:b/>
          <w:bCs/>
        </w:rPr>
        <w:t xml:space="preserve">Índice de Talento. Ranking global por CC. AA. 2017 </w:t>
      </w:r>
      <w:r w:rsidRPr="00786FB9">
        <w:rPr>
          <w:bCs/>
        </w:rPr>
        <w:t>(puntuación)</w:t>
      </w:r>
    </w:p>
    <w:p w:rsidR="00107D11" w:rsidRPr="00786FB9" w:rsidRDefault="00107D11" w:rsidP="00786FB9">
      <w:pPr>
        <w:spacing w:after="0" w:line="240" w:lineRule="auto"/>
        <w:jc w:val="center"/>
      </w:pPr>
      <w:r w:rsidRPr="00786FB9">
        <w:rPr>
          <w:noProof/>
          <w:lang w:eastAsia="es-ES"/>
        </w:rPr>
        <w:drawing>
          <wp:inline distT="0" distB="0" distL="0" distR="0" wp14:anchorId="0BC13B60" wp14:editId="0F0F7FE2">
            <wp:extent cx="4885898" cy="292062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7D11" w:rsidRPr="009448A8" w:rsidRDefault="00107D11" w:rsidP="00786FB9">
      <w:pPr>
        <w:spacing w:after="0" w:line="240" w:lineRule="auto"/>
        <w:jc w:val="both"/>
        <w:rPr>
          <w:i/>
        </w:rPr>
      </w:pPr>
      <w:r w:rsidRPr="009448A8">
        <w:rPr>
          <w:i/>
        </w:rPr>
        <w:t>Fuente: Elaboración propia</w:t>
      </w:r>
    </w:p>
    <w:p w:rsidR="00A22F7B" w:rsidRDefault="00A22F7B" w:rsidP="00786FB9">
      <w:pPr>
        <w:spacing w:after="0" w:line="240" w:lineRule="auto"/>
        <w:jc w:val="both"/>
      </w:pPr>
    </w:p>
    <w:p w:rsidR="00442348" w:rsidRDefault="00442348" w:rsidP="00786FB9">
      <w:pPr>
        <w:spacing w:after="0" w:line="240" w:lineRule="auto"/>
        <w:jc w:val="both"/>
      </w:pPr>
    </w:p>
    <w:p w:rsidR="00874BC3" w:rsidRDefault="007F46A6" w:rsidP="00786FB9">
      <w:pPr>
        <w:spacing w:after="0" w:line="240" w:lineRule="auto"/>
        <w:jc w:val="both"/>
      </w:pPr>
      <w:r w:rsidRPr="00786FB9">
        <w:lastRenderedPageBreak/>
        <w:t>El informe</w:t>
      </w:r>
      <w:r w:rsidR="00874BC3" w:rsidRPr="00786FB9">
        <w:t xml:space="preserve"> aprecia una correlación entre los resultados autonómicos de talento y la renta por habitante. Es decir, utilizar el talento favorece la renta per cápita y la productividad, de la misma forma que el progreso económico conduce a una mayor c</w:t>
      </w:r>
      <w:r w:rsidRPr="00786FB9">
        <w:t>apacidad de invertir en talento</w:t>
      </w:r>
      <w:r w:rsidR="00874BC3" w:rsidRPr="00786FB9">
        <w:t>.</w:t>
      </w:r>
    </w:p>
    <w:p w:rsidR="00A22F7B" w:rsidRPr="00786FB9" w:rsidRDefault="00A22F7B" w:rsidP="00786FB9">
      <w:pPr>
        <w:spacing w:after="0" w:line="240" w:lineRule="auto"/>
        <w:jc w:val="both"/>
      </w:pPr>
    </w:p>
    <w:p w:rsidR="00A22F7B" w:rsidRPr="00A22F7B" w:rsidRDefault="00A22F7B" w:rsidP="00786FB9">
      <w:pPr>
        <w:spacing w:after="0" w:line="240" w:lineRule="auto"/>
        <w:jc w:val="both"/>
        <w:rPr>
          <w:b/>
        </w:rPr>
      </w:pPr>
      <w:r w:rsidRPr="00A22F7B">
        <w:rPr>
          <w:b/>
        </w:rPr>
        <w:t>España, 31 de 119 países en el ranking internacional de talento</w:t>
      </w:r>
    </w:p>
    <w:p w:rsidR="00FA26D7" w:rsidRDefault="00CD13C6" w:rsidP="00786FB9">
      <w:pPr>
        <w:spacing w:after="0" w:line="240" w:lineRule="auto"/>
        <w:jc w:val="both"/>
      </w:pPr>
      <w:r w:rsidRPr="00786FB9">
        <w:t xml:space="preserve">El </w:t>
      </w:r>
      <w:r w:rsidR="00B27162" w:rsidRPr="00786FB9">
        <w:t>estudio</w:t>
      </w:r>
      <w:r w:rsidR="00BB38CE" w:rsidRPr="00786FB9">
        <w:t xml:space="preserve"> también recoge la posición de España en el ranking internacional</w:t>
      </w:r>
      <w:r w:rsidR="00977305" w:rsidRPr="00786FB9">
        <w:t xml:space="preserve">, donde ocupa el puesto 31 de un total de 119 países, en niveles similares a </w:t>
      </w:r>
      <w:r w:rsidR="00BB38CE" w:rsidRPr="00786FB9">
        <w:t xml:space="preserve">Portugal, República de Corea, Lituania o Chile. </w:t>
      </w:r>
      <w:r w:rsidR="00FA26D7" w:rsidRPr="00786FB9">
        <w:t xml:space="preserve">España destaca </w:t>
      </w:r>
      <w:r w:rsidR="00815A0E" w:rsidRPr="00786FB9">
        <w:t xml:space="preserve">en los </w:t>
      </w:r>
      <w:r w:rsidR="00FA26D7" w:rsidRPr="00786FB9">
        <w:t>ámbito</w:t>
      </w:r>
      <w:r w:rsidR="00815A0E" w:rsidRPr="00786FB9">
        <w:t>s</w:t>
      </w:r>
      <w:r w:rsidR="00FA26D7" w:rsidRPr="00786FB9">
        <w:t xml:space="preserve"> de la educación formal</w:t>
      </w:r>
      <w:r w:rsidR="00BE20AC" w:rsidRPr="00786FB9">
        <w:t xml:space="preserve">, </w:t>
      </w:r>
      <w:r w:rsidR="00FA26D7" w:rsidRPr="00786FB9">
        <w:t>debido a las altas tasas de matriculación universitaria</w:t>
      </w:r>
      <w:r w:rsidR="00BE20AC" w:rsidRPr="00786FB9">
        <w:t>;</w:t>
      </w:r>
      <w:r w:rsidR="00FA26D7" w:rsidRPr="00786FB9">
        <w:t xml:space="preserve"> sostenibilidad</w:t>
      </w:r>
      <w:r w:rsidR="00BE20AC" w:rsidRPr="00786FB9">
        <w:t xml:space="preserve">, </w:t>
      </w:r>
      <w:r w:rsidR="00FA26D7" w:rsidRPr="00786FB9">
        <w:t>por su sistema de pensiones</w:t>
      </w:r>
      <w:r w:rsidR="00BE20AC" w:rsidRPr="00786FB9">
        <w:t>;</w:t>
      </w:r>
      <w:r w:rsidR="00FA26D7" w:rsidRPr="00786FB9">
        <w:t xml:space="preserve"> y estilo de vida</w:t>
      </w:r>
      <w:r w:rsidR="00BE20AC" w:rsidRPr="00786FB9">
        <w:t xml:space="preserve">, </w:t>
      </w:r>
      <w:r w:rsidR="00FA26D7" w:rsidRPr="00786FB9">
        <w:t xml:space="preserve">tanto desde el punto de vista medioambiental como de seguridad personal. Sin embargo, necesita mejorar en </w:t>
      </w:r>
      <w:r w:rsidR="0006758D" w:rsidRPr="00786FB9">
        <w:t xml:space="preserve">las relaciones administración-empresa, la utilización de la tecnología y en </w:t>
      </w:r>
      <w:r w:rsidR="00FA26D7" w:rsidRPr="00786FB9">
        <w:t>aspectos relacionados con el mercado de trabajo, la facilidad de contratación, el fomento del desarrollo profesional y la promoción de mejoras formativas.</w:t>
      </w:r>
    </w:p>
    <w:p w:rsidR="004C5E03" w:rsidRDefault="004C5E03" w:rsidP="00786FB9">
      <w:pPr>
        <w:spacing w:after="0" w:line="240" w:lineRule="auto"/>
        <w:jc w:val="both"/>
      </w:pPr>
    </w:p>
    <w:p w:rsidR="004C5E03" w:rsidRPr="004C5E03" w:rsidRDefault="004C5E03" w:rsidP="00786FB9">
      <w:pPr>
        <w:spacing w:after="0" w:line="240" w:lineRule="auto"/>
        <w:jc w:val="both"/>
        <w:rPr>
          <w:b/>
        </w:rPr>
      </w:pPr>
      <w:r w:rsidRPr="004C5E03">
        <w:rPr>
          <w:b/>
        </w:rPr>
        <w:t>Cómo atraer y retener el talento en las empresas valencianas</w:t>
      </w:r>
    </w:p>
    <w:p w:rsidR="004C5E03" w:rsidRDefault="004C5E03" w:rsidP="00786FB9">
      <w:pPr>
        <w:spacing w:after="0" w:line="240" w:lineRule="auto"/>
        <w:jc w:val="both"/>
        <w:rPr>
          <w:rStyle w:val="textexposedshow"/>
        </w:rPr>
      </w:pPr>
      <w:r>
        <w:t>Durante la jornada celebrada hoy, además de presentar el estudio, ADEIT</w:t>
      </w:r>
      <w:r w:rsidR="00442348">
        <w:t xml:space="preserve"> </w:t>
      </w:r>
      <w:r>
        <w:t>ha organizado una mesa redonda con cuatro de las empresas de su Patronato. Pr</w:t>
      </w:r>
      <w:r>
        <w:rPr>
          <w:rStyle w:val="textexposedshow"/>
        </w:rPr>
        <w:t xml:space="preserve">ofesionales de </w:t>
      </w:r>
      <w:proofErr w:type="spellStart"/>
      <w:r>
        <w:rPr>
          <w:rStyle w:val="textexposedshow"/>
        </w:rPr>
        <w:t>Dacsa</w:t>
      </w:r>
      <w:proofErr w:type="spellEnd"/>
      <w:r>
        <w:rPr>
          <w:rStyle w:val="textexposedshow"/>
        </w:rPr>
        <w:t xml:space="preserve">, Grupo Martínez, </w:t>
      </w:r>
      <w:proofErr w:type="spellStart"/>
      <w:r>
        <w:rPr>
          <w:rStyle w:val="textexposedshow"/>
        </w:rPr>
        <w:t>Stadler</w:t>
      </w:r>
      <w:proofErr w:type="spellEnd"/>
      <w:r>
        <w:rPr>
          <w:rStyle w:val="textexposedshow"/>
        </w:rPr>
        <w:t xml:space="preserve"> y </w:t>
      </w:r>
      <w:proofErr w:type="spellStart"/>
      <w:r>
        <w:rPr>
          <w:rStyle w:val="textexposedshow"/>
        </w:rPr>
        <w:t>Ubesol</w:t>
      </w:r>
      <w:proofErr w:type="spellEnd"/>
      <w:r>
        <w:rPr>
          <w:rStyle w:val="textexposedshow"/>
        </w:rPr>
        <w:t>, han debatido sobre cómo atraer y retener el talento en las empresas valencianas.</w:t>
      </w:r>
    </w:p>
    <w:p w:rsidR="00442348" w:rsidRDefault="00442348" w:rsidP="00786FB9">
      <w:pPr>
        <w:spacing w:after="0" w:line="240" w:lineRule="auto"/>
        <w:jc w:val="both"/>
        <w:rPr>
          <w:rStyle w:val="textexposedshow"/>
        </w:rPr>
      </w:pPr>
    </w:p>
    <w:p w:rsidR="00442348" w:rsidRDefault="00442348" w:rsidP="00786FB9">
      <w:pPr>
        <w:spacing w:after="0" w:line="240" w:lineRule="auto"/>
        <w:jc w:val="both"/>
        <w:rPr>
          <w:rStyle w:val="textexposedshow"/>
        </w:rPr>
      </w:pPr>
      <w:r>
        <w:rPr>
          <w:rStyle w:val="textexposedshow"/>
        </w:rPr>
        <w:t xml:space="preserve">La jornada Mapa del Talento en España ha sido inaugurada por </w:t>
      </w:r>
      <w:r w:rsidR="000C6102">
        <w:rPr>
          <w:rStyle w:val="textexposedshow"/>
        </w:rPr>
        <w:t xml:space="preserve">Juan Manuel Pérez Mira, presidente de ADEIT, entidad miembro del Patronato de COTEC; </w:t>
      </w:r>
      <w:proofErr w:type="spellStart"/>
      <w:r w:rsidR="000C6102">
        <w:rPr>
          <w:rStyle w:val="textexposedshow"/>
        </w:rPr>
        <w:t>M.Emilia</w:t>
      </w:r>
      <w:proofErr w:type="spellEnd"/>
      <w:r w:rsidR="000C6102">
        <w:rPr>
          <w:rStyle w:val="textexposedshow"/>
        </w:rPr>
        <w:t xml:space="preserve"> Adán, presidenta del </w:t>
      </w:r>
      <w:proofErr w:type="spellStart"/>
      <w:r w:rsidR="000C6102">
        <w:rPr>
          <w:rStyle w:val="textexposedshow"/>
        </w:rPr>
        <w:t>Consell</w:t>
      </w:r>
      <w:proofErr w:type="spellEnd"/>
      <w:r w:rsidR="000C6102">
        <w:rPr>
          <w:rStyle w:val="textexposedshow"/>
        </w:rPr>
        <w:t xml:space="preserve"> Social de la Universitat de València; Jorge Barrero, director general de COTEC; y Júlia Company, directora general de IVACE. </w:t>
      </w:r>
    </w:p>
    <w:p w:rsidR="00D95CE2" w:rsidRDefault="00D95CE2" w:rsidP="00786FB9">
      <w:pPr>
        <w:spacing w:after="0" w:line="240" w:lineRule="auto"/>
        <w:jc w:val="both"/>
        <w:rPr>
          <w:rStyle w:val="textexposedshow"/>
        </w:rPr>
      </w:pPr>
    </w:p>
    <w:p w:rsidR="00D95CE2" w:rsidRPr="00786FB9" w:rsidRDefault="00D95CE2" w:rsidP="00786FB9">
      <w:pPr>
        <w:spacing w:after="0" w:line="240" w:lineRule="auto"/>
        <w:jc w:val="both"/>
      </w:pPr>
    </w:p>
    <w:sectPr w:rsidR="00D95CE2" w:rsidRPr="00786FB9" w:rsidSect="00FF4C6A">
      <w:headerReference w:type="default" r:id="rId10"/>
      <w:footerReference w:type="default" r:id="rId11"/>
      <w:pgSz w:w="11906" w:h="16838"/>
      <w:pgMar w:top="1247" w:right="1531" w:bottom="124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E2" w:rsidRDefault="00D95CE2" w:rsidP="00D95CE2">
      <w:pPr>
        <w:spacing w:after="0" w:line="240" w:lineRule="auto"/>
      </w:pPr>
      <w:r>
        <w:separator/>
      </w:r>
    </w:p>
  </w:endnote>
  <w:endnote w:type="continuationSeparator" w:id="0">
    <w:p w:rsidR="00D95CE2" w:rsidRDefault="00D95CE2" w:rsidP="00D9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E2" w:rsidRDefault="00D95CE2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CE2" w:rsidRDefault="00B56AD0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95CE2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Más información:</w:t>
                                </w:r>
                              </w:sdtContent>
                            </w:sdt>
                            <w:r w:rsidR="00D95CE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ítulo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95CE2" w:rsidRPr="00ED225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Departamento Comunicación ADEIT comunicacion@adeituv.es 690 819 002 / 96 205 79 44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upo 16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D95CE2" w:rsidRDefault="00D95CE2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Más información: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ítulo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ED225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Departamento Comunicación ADEIT comunicacion@adeituv.es 690 819 002 / 96 205 79 44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E2" w:rsidRDefault="00D95CE2" w:rsidP="00D95CE2">
      <w:pPr>
        <w:spacing w:after="0" w:line="240" w:lineRule="auto"/>
      </w:pPr>
      <w:r>
        <w:separator/>
      </w:r>
    </w:p>
  </w:footnote>
  <w:footnote w:type="continuationSeparator" w:id="0">
    <w:p w:rsidR="00D95CE2" w:rsidRDefault="00D95CE2" w:rsidP="00D9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E2" w:rsidRDefault="00D95CE2" w:rsidP="00D95CE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E968FE1" wp14:editId="411A76A4">
          <wp:simplePos x="0" y="0"/>
          <wp:positionH relativeFrom="margin">
            <wp:posOffset>1918970</wp:posOffset>
          </wp:positionH>
          <wp:positionV relativeFrom="paragraph">
            <wp:posOffset>255270</wp:posOffset>
          </wp:positionV>
          <wp:extent cx="1857375" cy="320040"/>
          <wp:effectExtent l="0" t="0" r="9525" b="3810"/>
          <wp:wrapSquare wrapText="bothSides"/>
          <wp:docPr id="4" name="Imagen 4" descr="FUEVbynalarg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EVbynalarg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464B7E" wp14:editId="36CAF96A">
          <wp:simplePos x="0" y="0"/>
          <wp:positionH relativeFrom="margin">
            <wp:posOffset>4377690</wp:posOffset>
          </wp:positionH>
          <wp:positionV relativeFrom="paragraph">
            <wp:posOffset>169545</wp:posOffset>
          </wp:positionV>
          <wp:extent cx="1009650" cy="546735"/>
          <wp:effectExtent l="0" t="0" r="0" b="5715"/>
          <wp:wrapTight wrapText="bothSides">
            <wp:wrapPolygon edited="0">
              <wp:start x="0" y="0"/>
              <wp:lineTo x="0" y="21073"/>
              <wp:lineTo x="21192" y="21073"/>
              <wp:lineTo x="21192" y="0"/>
              <wp:lineTo x="0" y="0"/>
            </wp:wrapPolygon>
          </wp:wrapTight>
          <wp:docPr id="1" name="Imagen 1" descr="Instituto Valenciano de Investigaciones Económ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tituto Valenciano de Investigaciones Económi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3CF2CC7" wp14:editId="5DF59CE4">
          <wp:extent cx="1504950" cy="881853"/>
          <wp:effectExtent l="0" t="0" r="0" b="0"/>
          <wp:docPr id="3" name="Imagen 3" descr="Resultado de imagen de logo co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cote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289" cy="887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CE2" w:rsidRDefault="00D95CE2">
    <w:pPr>
      <w:pStyle w:val="Encabezado"/>
    </w:pPr>
  </w:p>
  <w:p w:rsidR="00D95CE2" w:rsidRDefault="00D95C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C7C81"/>
    <w:multiLevelType w:val="hybridMultilevel"/>
    <w:tmpl w:val="43EAF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17"/>
    <w:rsid w:val="00023529"/>
    <w:rsid w:val="0002447E"/>
    <w:rsid w:val="00025858"/>
    <w:rsid w:val="00041A95"/>
    <w:rsid w:val="000655C0"/>
    <w:rsid w:val="0006758D"/>
    <w:rsid w:val="00087A54"/>
    <w:rsid w:val="000A4DA1"/>
    <w:rsid w:val="000C6102"/>
    <w:rsid w:val="00107148"/>
    <w:rsid w:val="00107D11"/>
    <w:rsid w:val="00161849"/>
    <w:rsid w:val="00163809"/>
    <w:rsid w:val="00171ADC"/>
    <w:rsid w:val="00190425"/>
    <w:rsid w:val="001B2CEB"/>
    <w:rsid w:val="001C2738"/>
    <w:rsid w:val="001F1148"/>
    <w:rsid w:val="00200427"/>
    <w:rsid w:val="00267D6F"/>
    <w:rsid w:val="002842F6"/>
    <w:rsid w:val="002E2310"/>
    <w:rsid w:val="00322457"/>
    <w:rsid w:val="00332462"/>
    <w:rsid w:val="0039285A"/>
    <w:rsid w:val="003E6A73"/>
    <w:rsid w:val="0040792D"/>
    <w:rsid w:val="00442348"/>
    <w:rsid w:val="00451069"/>
    <w:rsid w:val="00477773"/>
    <w:rsid w:val="004B6C75"/>
    <w:rsid w:val="004C19A7"/>
    <w:rsid w:val="004C5E03"/>
    <w:rsid w:val="004F64CB"/>
    <w:rsid w:val="00510B1C"/>
    <w:rsid w:val="00590214"/>
    <w:rsid w:val="005C31C2"/>
    <w:rsid w:val="005C4399"/>
    <w:rsid w:val="0061334C"/>
    <w:rsid w:val="00644462"/>
    <w:rsid w:val="0064610F"/>
    <w:rsid w:val="00694696"/>
    <w:rsid w:val="006D320E"/>
    <w:rsid w:val="006F1DE1"/>
    <w:rsid w:val="00785F07"/>
    <w:rsid w:val="00786FB9"/>
    <w:rsid w:val="007B45C5"/>
    <w:rsid w:val="007C6C97"/>
    <w:rsid w:val="007E7665"/>
    <w:rsid w:val="007F46A6"/>
    <w:rsid w:val="007F5BC5"/>
    <w:rsid w:val="00815A0E"/>
    <w:rsid w:val="008445D8"/>
    <w:rsid w:val="00874BC3"/>
    <w:rsid w:val="00877750"/>
    <w:rsid w:val="008A4128"/>
    <w:rsid w:val="008C37D6"/>
    <w:rsid w:val="008D7128"/>
    <w:rsid w:val="00931F33"/>
    <w:rsid w:val="009448A8"/>
    <w:rsid w:val="00977305"/>
    <w:rsid w:val="009B3700"/>
    <w:rsid w:val="009C3317"/>
    <w:rsid w:val="009E152D"/>
    <w:rsid w:val="009F2C71"/>
    <w:rsid w:val="00A22F7B"/>
    <w:rsid w:val="00A270BC"/>
    <w:rsid w:val="00A33AE6"/>
    <w:rsid w:val="00A80DAB"/>
    <w:rsid w:val="00A83F58"/>
    <w:rsid w:val="00AB096C"/>
    <w:rsid w:val="00AB2E6F"/>
    <w:rsid w:val="00AD12A2"/>
    <w:rsid w:val="00B0608B"/>
    <w:rsid w:val="00B27162"/>
    <w:rsid w:val="00B56AD0"/>
    <w:rsid w:val="00B65089"/>
    <w:rsid w:val="00B83683"/>
    <w:rsid w:val="00B909E8"/>
    <w:rsid w:val="00BB38CE"/>
    <w:rsid w:val="00BC6F4C"/>
    <w:rsid w:val="00BD051D"/>
    <w:rsid w:val="00BE20AC"/>
    <w:rsid w:val="00C356D0"/>
    <w:rsid w:val="00C37CAC"/>
    <w:rsid w:val="00C45165"/>
    <w:rsid w:val="00C83B7F"/>
    <w:rsid w:val="00C85D6B"/>
    <w:rsid w:val="00CA6746"/>
    <w:rsid w:val="00CB3F7F"/>
    <w:rsid w:val="00CC0678"/>
    <w:rsid w:val="00CD13C6"/>
    <w:rsid w:val="00D027CA"/>
    <w:rsid w:val="00D30D3F"/>
    <w:rsid w:val="00D676ED"/>
    <w:rsid w:val="00D705E7"/>
    <w:rsid w:val="00D95CE2"/>
    <w:rsid w:val="00DE1D7A"/>
    <w:rsid w:val="00E113BC"/>
    <w:rsid w:val="00E267C7"/>
    <w:rsid w:val="00E748CA"/>
    <w:rsid w:val="00E85274"/>
    <w:rsid w:val="00EA5A0E"/>
    <w:rsid w:val="00F6320B"/>
    <w:rsid w:val="00FA26D7"/>
    <w:rsid w:val="00FD0D3B"/>
    <w:rsid w:val="00FE374E"/>
    <w:rsid w:val="00FE6C62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85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33A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A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A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A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AE6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86FB9"/>
    <w:pPr>
      <w:ind w:left="720"/>
      <w:contextualSpacing/>
    </w:pPr>
  </w:style>
  <w:style w:type="character" w:customStyle="1" w:styleId="textexposedshow">
    <w:name w:val="text_exposed_show"/>
    <w:basedOn w:val="Fuentedeprrafopredeter"/>
    <w:rsid w:val="004C5E03"/>
  </w:style>
  <w:style w:type="character" w:styleId="Hipervnculo">
    <w:name w:val="Hyperlink"/>
    <w:basedOn w:val="Fuentedeprrafopredeter"/>
    <w:uiPriority w:val="99"/>
    <w:semiHidden/>
    <w:unhideWhenUsed/>
    <w:rsid w:val="004C5E0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5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CE2"/>
  </w:style>
  <w:style w:type="paragraph" w:styleId="Piedepgina">
    <w:name w:val="footer"/>
    <w:basedOn w:val="Normal"/>
    <w:link w:val="PiedepginaCar"/>
    <w:uiPriority w:val="99"/>
    <w:unhideWhenUsed/>
    <w:rsid w:val="00D95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85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33A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A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A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A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AE6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86FB9"/>
    <w:pPr>
      <w:ind w:left="720"/>
      <w:contextualSpacing/>
    </w:pPr>
  </w:style>
  <w:style w:type="character" w:customStyle="1" w:styleId="textexposedshow">
    <w:name w:val="text_exposed_show"/>
    <w:basedOn w:val="Fuentedeprrafopredeter"/>
    <w:rsid w:val="004C5E03"/>
  </w:style>
  <w:style w:type="character" w:styleId="Hipervnculo">
    <w:name w:val="Hyperlink"/>
    <w:basedOn w:val="Fuentedeprrafopredeter"/>
    <w:uiPriority w:val="99"/>
    <w:semiHidden/>
    <w:unhideWhenUsed/>
    <w:rsid w:val="004C5E0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95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CE2"/>
  </w:style>
  <w:style w:type="paragraph" w:styleId="Piedepgina">
    <w:name w:val="footer"/>
    <w:basedOn w:val="Normal"/>
    <w:link w:val="PiedepginaCar"/>
    <w:uiPriority w:val="99"/>
    <w:unhideWhenUsed/>
    <w:rsid w:val="00D95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spPr>
            <a:solidFill>
              <a:srgbClr val="00A2A4"/>
            </a:solidFill>
            <a:ln w="6350">
              <a:noFill/>
            </a:ln>
          </c:spPr>
          <c:invertIfNegative val="0"/>
          <c:dPt>
            <c:idx val="4"/>
            <c:invertIfNegative val="0"/>
            <c:bubble3D val="0"/>
            <c:spPr>
              <a:solidFill>
                <a:srgbClr val="C0504D"/>
              </a:solidFill>
              <a:ln w="635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A06-4DD9-9071-B60E51C2DC54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AA06-4DD9-9071-B60E51C2DC54}"/>
              </c:ext>
            </c:extLst>
          </c:dPt>
          <c:dPt>
            <c:idx val="10"/>
            <c:invertIfNegative val="0"/>
            <c:bubble3D val="0"/>
            <c:spPr>
              <a:solidFill>
                <a:sysClr val="window" lastClr="FFFFFF">
                  <a:lumMod val="65000"/>
                </a:sysClr>
              </a:solidFill>
              <a:ln w="6350"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A06-4DD9-9071-B60E51C2DC54}"/>
              </c:ext>
            </c:extLst>
          </c:dPt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+mn-lt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'2.2'!$X$9:$X$26</c:f>
              <c:strCache>
                <c:ptCount val="18"/>
                <c:pt idx="0">
                  <c:v>Madrid, Comunidad de</c:v>
                </c:pt>
                <c:pt idx="1">
                  <c:v>Navarra, Comunidad Foral de</c:v>
                </c:pt>
                <c:pt idx="2">
                  <c:v>Cataluña</c:v>
                </c:pt>
                <c:pt idx="3">
                  <c:v>País Vasco</c:v>
                </c:pt>
                <c:pt idx="4">
                  <c:v>España</c:v>
                </c:pt>
                <c:pt idx="5">
                  <c:v>Asturias, Principado de</c:v>
                </c:pt>
                <c:pt idx="6">
                  <c:v>Aragón</c:v>
                </c:pt>
                <c:pt idx="7">
                  <c:v>Rioja, La</c:v>
                </c:pt>
                <c:pt idx="8">
                  <c:v>Cantabria</c:v>
                </c:pt>
                <c:pt idx="9">
                  <c:v>Castilla y León</c:v>
                </c:pt>
                <c:pt idx="10">
                  <c:v>Comunitat Valenciana</c:v>
                </c:pt>
                <c:pt idx="11">
                  <c:v>Balears, Illes</c:v>
                </c:pt>
                <c:pt idx="12">
                  <c:v>Galicia</c:v>
                </c:pt>
                <c:pt idx="13">
                  <c:v>Andalucía</c:v>
                </c:pt>
                <c:pt idx="14">
                  <c:v>Extremadura</c:v>
                </c:pt>
                <c:pt idx="15">
                  <c:v>Murcia, Región de</c:v>
                </c:pt>
                <c:pt idx="16">
                  <c:v>Castilla-La Mancha</c:v>
                </c:pt>
                <c:pt idx="17">
                  <c:v>Canarias</c:v>
                </c:pt>
              </c:strCache>
            </c:strRef>
          </c:cat>
          <c:val>
            <c:numRef>
              <c:f>'2.2'!$Y$9:$Y$26</c:f>
              <c:numCache>
                <c:formatCode>0.00</c:formatCode>
                <c:ptCount val="18"/>
                <c:pt idx="0">
                  <c:v>72.971046518319497</c:v>
                </c:pt>
                <c:pt idx="1">
                  <c:v>59.071840143785728</c:v>
                </c:pt>
                <c:pt idx="2">
                  <c:v>57.691911275589952</c:v>
                </c:pt>
                <c:pt idx="3">
                  <c:v>56.18006525840741</c:v>
                </c:pt>
                <c:pt idx="4">
                  <c:v>48.558804495098038</c:v>
                </c:pt>
                <c:pt idx="5">
                  <c:v>48.277940430973281</c:v>
                </c:pt>
                <c:pt idx="6">
                  <c:v>47.936659333249111</c:v>
                </c:pt>
                <c:pt idx="7">
                  <c:v>47.51847853412476</c:v>
                </c:pt>
                <c:pt idx="8">
                  <c:v>47.199281048218943</c:v>
                </c:pt>
                <c:pt idx="9">
                  <c:v>42.986545011692442</c:v>
                </c:pt>
                <c:pt idx="10">
                  <c:v>42.202184491654158</c:v>
                </c:pt>
                <c:pt idx="11">
                  <c:v>39.25537115010497</c:v>
                </c:pt>
                <c:pt idx="12">
                  <c:v>38.354476356436166</c:v>
                </c:pt>
                <c:pt idx="13">
                  <c:v>36.321118845675791</c:v>
                </c:pt>
                <c:pt idx="14">
                  <c:v>35.370725214300876</c:v>
                </c:pt>
                <c:pt idx="15">
                  <c:v>34.921453297165982</c:v>
                </c:pt>
                <c:pt idx="16">
                  <c:v>32.058060155799346</c:v>
                </c:pt>
                <c:pt idx="17">
                  <c:v>30.506565716569416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06-4DD9-9071-B60E51C2D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axId val="305921024"/>
        <c:axId val="307237632"/>
      </c:barChart>
      <c:catAx>
        <c:axId val="3059210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5">
            <a:solidFill>
              <a:sysClr val="window" lastClr="FFFFFF">
                <a:lumMod val="65000"/>
              </a:sysClr>
            </a:solidFill>
            <a:prstDash val="solid"/>
          </a:ln>
        </c:spPr>
        <c:txPr>
          <a:bodyPr/>
          <a:lstStyle/>
          <a:p>
            <a:pPr>
              <a:defRPr sz="900">
                <a:latin typeface="+mn-lt"/>
              </a:defRPr>
            </a:pPr>
            <a:endParaRPr lang="es-ES"/>
          </a:p>
        </c:txPr>
        <c:crossAx val="307237632"/>
        <c:crosses val="autoZero"/>
        <c:auto val="1"/>
        <c:lblAlgn val="ctr"/>
        <c:lblOffset val="100"/>
        <c:noMultiLvlLbl val="0"/>
      </c:catAx>
      <c:valAx>
        <c:axId val="307237632"/>
        <c:scaling>
          <c:orientation val="minMax"/>
          <c:max val="100"/>
        </c:scaling>
        <c:delete val="1"/>
        <c:axPos val="t"/>
        <c:numFmt formatCode="General" sourceLinked="0"/>
        <c:majorTickMark val="out"/>
        <c:minorTickMark val="none"/>
        <c:tickLblPos val="nextTo"/>
        <c:crossAx val="3059210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>
          <a:latin typeface="Arial" pitchFamily="34" charset="0"/>
          <a:ea typeface="Tahoma" pitchFamily="34" charset="0"/>
          <a:cs typeface="Arial" pitchFamily="34" charset="0"/>
        </a:defRPr>
      </a:pPr>
      <a:endParaRPr lang="es-E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CE09-07FA-426A-9AB6-5B49CB58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 información:</vt:lpstr>
    </vt:vector>
  </TitlesOfParts>
  <Company>Microsoft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 información:</dc:title>
  <dc:subject>Departamento Comunicación ADEIT comunicacion@adeituv.es 690 819 002 / 96 205 79 44</dc:subject>
  <dc:creator>María Rosell</dc:creator>
  <cp:lastModifiedBy>Ivie</cp:lastModifiedBy>
  <cp:revision>2</cp:revision>
  <cp:lastPrinted>2019-06-13T11:30:00Z</cp:lastPrinted>
  <dcterms:created xsi:type="dcterms:W3CDTF">2019-06-26T12:29:00Z</dcterms:created>
  <dcterms:modified xsi:type="dcterms:W3CDTF">2019-06-26T12:29:00Z</dcterms:modified>
</cp:coreProperties>
</file>