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62705" w14:textId="1B600FA9" w:rsidR="00852AFC" w:rsidRPr="00BF100C" w:rsidRDefault="009838F2" w:rsidP="009838F2">
      <w:pPr>
        <w:shd w:val="clear" w:color="auto" w:fill="FFFFFF"/>
        <w:spacing w:after="240" w:line="300" w:lineRule="atLeast"/>
        <w:jc w:val="center"/>
        <w:outlineLvl w:val="0"/>
        <w:rPr>
          <w:rFonts w:ascii="Helvetica" w:eastAsia="Times New Roman" w:hAnsi="Helvetica" w:cs="Helvetica"/>
          <w:b/>
          <w:bCs/>
          <w:color w:val="000000" w:themeColor="text1"/>
          <w:kern w:val="36"/>
          <w:sz w:val="40"/>
          <w:szCs w:val="40"/>
          <w:lang w:eastAsia="es-ES"/>
        </w:rPr>
      </w:pPr>
      <w:r w:rsidRPr="00BF100C">
        <w:rPr>
          <w:rFonts w:ascii="Helvetica" w:hAnsi="Helvetica" w:cs="Helvetica"/>
          <w:color w:val="000000" w:themeColor="text1"/>
          <w:sz w:val="40"/>
          <w:szCs w:val="40"/>
        </w:rPr>
        <w:t>El peso de la mujer como pilar económico de los hogares españoles casi se ha triplicado desde 1980 y representa el 33,6% del total</w:t>
      </w:r>
    </w:p>
    <w:p w14:paraId="2B1FB236" w14:textId="77777777" w:rsidR="00CD60F1" w:rsidRPr="00CD60F1" w:rsidRDefault="00CD60F1" w:rsidP="003E059A">
      <w:pPr>
        <w:numPr>
          <w:ilvl w:val="0"/>
          <w:numId w:val="7"/>
        </w:numPr>
        <w:shd w:val="clear" w:color="auto" w:fill="FFFFFF"/>
        <w:spacing w:before="120" w:after="200" w:line="300" w:lineRule="atLeast"/>
        <w:ind w:left="714" w:hanging="357"/>
        <w:outlineLvl w:val="0"/>
        <w:rPr>
          <w:rFonts w:ascii="Helvetica" w:eastAsia="Times New Roman" w:hAnsi="Helvetica" w:cs="Helvetica"/>
          <w:bCs/>
          <w:color w:val="006265"/>
          <w:kern w:val="36"/>
          <w:sz w:val="23"/>
          <w:szCs w:val="23"/>
          <w:lang w:eastAsia="es-ES"/>
        </w:rPr>
      </w:pPr>
      <w:r w:rsidRPr="00BF100C">
        <w:rPr>
          <w:rFonts w:ascii="Helvetica" w:eastAsia="Times New Roman" w:hAnsi="Helvetica" w:cs="Helvetica"/>
          <w:bCs/>
          <w:color w:val="006265"/>
          <w:kern w:val="36"/>
          <w:sz w:val="23"/>
          <w:szCs w:val="23"/>
          <w:lang w:eastAsia="es-ES"/>
        </w:rPr>
        <w:t>Un estudio de la Fundación Ramón Areces y el Ivie muestra la gran transformación de la sociedad española en los últimos 40 años.</w:t>
      </w:r>
    </w:p>
    <w:p w14:paraId="15DA7A73" w14:textId="479D9E5C" w:rsidR="00310596" w:rsidRPr="003E059A" w:rsidRDefault="00E83870" w:rsidP="003E059A">
      <w:pPr>
        <w:numPr>
          <w:ilvl w:val="0"/>
          <w:numId w:val="7"/>
        </w:numPr>
        <w:shd w:val="clear" w:color="auto" w:fill="FFFFFF"/>
        <w:spacing w:before="120" w:after="200" w:line="300" w:lineRule="atLeast"/>
        <w:ind w:left="714" w:hanging="357"/>
        <w:outlineLvl w:val="0"/>
        <w:rPr>
          <w:rFonts w:ascii="Helvetica" w:eastAsia="Times New Roman" w:hAnsi="Helvetica" w:cs="Helvetica"/>
          <w:bCs/>
          <w:color w:val="006265"/>
          <w:kern w:val="36"/>
          <w:sz w:val="23"/>
          <w:szCs w:val="23"/>
          <w:lang w:eastAsia="es-ES"/>
        </w:rPr>
      </w:pPr>
      <w:r w:rsidRPr="00BF100C">
        <w:rPr>
          <w:rFonts w:ascii="Helvetica" w:eastAsia="Times New Roman" w:hAnsi="Helvetica" w:cs="Helvetica"/>
          <w:bCs/>
          <w:color w:val="006265"/>
          <w:kern w:val="36"/>
          <w:sz w:val="23"/>
          <w:szCs w:val="23"/>
          <w:lang w:eastAsia="es-ES"/>
        </w:rPr>
        <w:t xml:space="preserve">Aunque </w:t>
      </w:r>
      <w:r>
        <w:rPr>
          <w:rFonts w:ascii="Helvetica" w:eastAsia="Times New Roman" w:hAnsi="Helvetica" w:cs="Helvetica"/>
          <w:bCs/>
          <w:color w:val="006265"/>
          <w:kern w:val="36"/>
          <w:sz w:val="23"/>
          <w:szCs w:val="23"/>
          <w:lang w:eastAsia="es-ES"/>
        </w:rPr>
        <w:t>l</w:t>
      </w:r>
      <w:r w:rsidR="00310596" w:rsidRPr="003E059A">
        <w:rPr>
          <w:rFonts w:ascii="Helvetica" w:eastAsia="Times New Roman" w:hAnsi="Helvetica" w:cs="Helvetica"/>
          <w:bCs/>
          <w:color w:val="006265"/>
          <w:kern w:val="36"/>
          <w:sz w:val="23"/>
          <w:szCs w:val="23"/>
          <w:lang w:eastAsia="es-ES"/>
        </w:rPr>
        <w:t>a población crece un 35%, el número de hogares se duplica por los cambios hacia modelos familiares más r</w:t>
      </w:r>
      <w:r>
        <w:rPr>
          <w:rFonts w:ascii="Helvetica" w:eastAsia="Times New Roman" w:hAnsi="Helvetica" w:cs="Helvetica"/>
          <w:bCs/>
          <w:color w:val="006265"/>
          <w:kern w:val="36"/>
          <w:sz w:val="23"/>
          <w:szCs w:val="23"/>
          <w:lang w:eastAsia="es-ES"/>
        </w:rPr>
        <w:t>educidos</w:t>
      </w:r>
    </w:p>
    <w:p w14:paraId="799856C1" w14:textId="75EA85F4" w:rsidR="00AA7E5E" w:rsidRPr="003E059A" w:rsidRDefault="00AA7E5E" w:rsidP="003E059A">
      <w:pPr>
        <w:numPr>
          <w:ilvl w:val="0"/>
          <w:numId w:val="7"/>
        </w:numPr>
        <w:shd w:val="clear" w:color="auto" w:fill="FFFFFF"/>
        <w:spacing w:before="120" w:after="200" w:line="300" w:lineRule="atLeast"/>
        <w:ind w:left="714" w:hanging="357"/>
        <w:outlineLvl w:val="0"/>
        <w:rPr>
          <w:rFonts w:ascii="Helvetica" w:eastAsia="Times New Roman" w:hAnsi="Helvetica" w:cs="Helvetica"/>
          <w:bCs/>
          <w:color w:val="006265"/>
          <w:kern w:val="36"/>
          <w:sz w:val="23"/>
          <w:szCs w:val="23"/>
          <w:lang w:eastAsia="es-ES"/>
        </w:rPr>
      </w:pPr>
      <w:r w:rsidRPr="003E059A">
        <w:rPr>
          <w:rFonts w:ascii="Helvetica" w:eastAsia="Times New Roman" w:hAnsi="Helvetica" w:cs="Helvetica"/>
          <w:bCs/>
          <w:color w:val="006265"/>
          <w:kern w:val="36"/>
          <w:sz w:val="23"/>
          <w:szCs w:val="23"/>
          <w:lang w:eastAsia="es-ES"/>
        </w:rPr>
        <w:t xml:space="preserve">El </w:t>
      </w:r>
      <w:r w:rsidR="0057726A" w:rsidRPr="003E059A">
        <w:rPr>
          <w:rFonts w:ascii="Helvetica" w:eastAsia="Times New Roman" w:hAnsi="Helvetica" w:cs="Helvetica"/>
          <w:bCs/>
          <w:color w:val="006265"/>
          <w:kern w:val="36"/>
          <w:sz w:val="23"/>
          <w:szCs w:val="23"/>
          <w:lang w:eastAsia="es-ES"/>
        </w:rPr>
        <w:t>peso</w:t>
      </w:r>
      <w:r w:rsidRPr="003E059A">
        <w:rPr>
          <w:rFonts w:ascii="Helvetica" w:eastAsia="Times New Roman" w:hAnsi="Helvetica" w:cs="Helvetica"/>
          <w:bCs/>
          <w:color w:val="006265"/>
          <w:kern w:val="36"/>
          <w:sz w:val="23"/>
          <w:szCs w:val="23"/>
          <w:lang w:eastAsia="es-ES"/>
        </w:rPr>
        <w:t xml:space="preserve"> de </w:t>
      </w:r>
      <w:r w:rsidR="0057726A" w:rsidRPr="003E059A">
        <w:rPr>
          <w:rFonts w:ascii="Helvetica" w:eastAsia="Times New Roman" w:hAnsi="Helvetica" w:cs="Helvetica"/>
          <w:bCs/>
          <w:color w:val="006265"/>
          <w:kern w:val="36"/>
          <w:sz w:val="23"/>
          <w:szCs w:val="23"/>
          <w:lang w:eastAsia="es-ES"/>
        </w:rPr>
        <w:t xml:space="preserve">los </w:t>
      </w:r>
      <w:r w:rsidRPr="003E059A">
        <w:rPr>
          <w:rFonts w:ascii="Helvetica" w:eastAsia="Times New Roman" w:hAnsi="Helvetica" w:cs="Helvetica"/>
          <w:bCs/>
          <w:color w:val="006265"/>
          <w:kern w:val="36"/>
          <w:sz w:val="23"/>
          <w:szCs w:val="23"/>
          <w:lang w:eastAsia="es-ES"/>
        </w:rPr>
        <w:t xml:space="preserve">hogares con hijos ha caído 20 puntos y </w:t>
      </w:r>
      <w:r w:rsidR="007E1A92" w:rsidRPr="003E059A">
        <w:rPr>
          <w:rFonts w:ascii="Helvetica" w:eastAsia="Times New Roman" w:hAnsi="Helvetica" w:cs="Helvetica"/>
          <w:bCs/>
          <w:color w:val="006265"/>
          <w:kern w:val="36"/>
          <w:sz w:val="23"/>
          <w:szCs w:val="23"/>
          <w:lang w:eastAsia="es-ES"/>
        </w:rPr>
        <w:t xml:space="preserve">actualmente </w:t>
      </w:r>
      <w:r w:rsidRPr="003E059A">
        <w:rPr>
          <w:rFonts w:ascii="Helvetica" w:eastAsia="Times New Roman" w:hAnsi="Helvetica" w:cs="Helvetica"/>
          <w:bCs/>
          <w:color w:val="006265"/>
          <w:kern w:val="36"/>
          <w:sz w:val="23"/>
          <w:szCs w:val="23"/>
          <w:lang w:eastAsia="es-ES"/>
        </w:rPr>
        <w:t>supone el 46,6% del total</w:t>
      </w:r>
    </w:p>
    <w:p w14:paraId="6445272B" w14:textId="4121C55F" w:rsidR="0057726A" w:rsidRPr="003E059A" w:rsidRDefault="00982FEA" w:rsidP="003E059A">
      <w:pPr>
        <w:numPr>
          <w:ilvl w:val="0"/>
          <w:numId w:val="7"/>
        </w:numPr>
        <w:shd w:val="clear" w:color="auto" w:fill="FFFFFF"/>
        <w:spacing w:before="120" w:after="200" w:line="300" w:lineRule="atLeast"/>
        <w:ind w:left="714" w:hanging="357"/>
        <w:outlineLvl w:val="0"/>
        <w:rPr>
          <w:rFonts w:ascii="Helvetica" w:eastAsia="Times New Roman" w:hAnsi="Helvetica" w:cs="Helvetica"/>
          <w:bCs/>
          <w:color w:val="006265"/>
          <w:kern w:val="36"/>
          <w:sz w:val="23"/>
          <w:szCs w:val="23"/>
          <w:lang w:eastAsia="es-ES"/>
        </w:rPr>
      </w:pPr>
      <w:r w:rsidRPr="00BF100C">
        <w:rPr>
          <w:rFonts w:ascii="Helvetica" w:eastAsia="Times New Roman" w:hAnsi="Helvetica" w:cs="Helvetica"/>
          <w:bCs/>
          <w:color w:val="006265"/>
          <w:kern w:val="36"/>
          <w:sz w:val="23"/>
          <w:szCs w:val="23"/>
          <w:lang w:eastAsia="es-ES"/>
        </w:rPr>
        <w:t>Los trabajadores de menor cualificación</w:t>
      </w:r>
      <w:r w:rsidR="0057726A" w:rsidRPr="00982FEA">
        <w:rPr>
          <w:rFonts w:ascii="Helvetica" w:eastAsia="Times New Roman" w:hAnsi="Helvetica" w:cs="Helvetica"/>
          <w:bCs/>
          <w:color w:val="FF0000"/>
          <w:kern w:val="36"/>
          <w:sz w:val="23"/>
          <w:szCs w:val="23"/>
          <w:lang w:eastAsia="es-ES"/>
        </w:rPr>
        <w:t xml:space="preserve"> </w:t>
      </w:r>
      <w:r w:rsidR="0057726A" w:rsidRPr="003E059A">
        <w:rPr>
          <w:rFonts w:ascii="Helvetica" w:eastAsia="Times New Roman" w:hAnsi="Helvetica" w:cs="Helvetica"/>
          <w:bCs/>
          <w:color w:val="006265"/>
          <w:kern w:val="36"/>
          <w:sz w:val="23"/>
          <w:szCs w:val="23"/>
          <w:lang w:eastAsia="es-ES"/>
        </w:rPr>
        <w:t xml:space="preserve">pasan de </w:t>
      </w:r>
      <w:r w:rsidR="004B68EB" w:rsidRPr="003E059A">
        <w:rPr>
          <w:rFonts w:ascii="Helvetica" w:eastAsia="Times New Roman" w:hAnsi="Helvetica" w:cs="Helvetica"/>
          <w:bCs/>
          <w:color w:val="006265"/>
          <w:kern w:val="36"/>
          <w:sz w:val="23"/>
          <w:szCs w:val="23"/>
          <w:lang w:eastAsia="es-ES"/>
        </w:rPr>
        <w:t>representar el</w:t>
      </w:r>
      <w:r w:rsidR="0057726A" w:rsidRPr="003E059A">
        <w:rPr>
          <w:rFonts w:ascii="Helvetica" w:eastAsia="Times New Roman" w:hAnsi="Helvetica" w:cs="Helvetica"/>
          <w:bCs/>
          <w:color w:val="006265"/>
          <w:kern w:val="36"/>
          <w:sz w:val="23"/>
          <w:szCs w:val="23"/>
          <w:lang w:eastAsia="es-ES"/>
        </w:rPr>
        <w:t xml:space="preserve"> 25% </w:t>
      </w:r>
      <w:r w:rsidR="004B68EB" w:rsidRPr="003E059A">
        <w:rPr>
          <w:rFonts w:ascii="Helvetica" w:eastAsia="Times New Roman" w:hAnsi="Helvetica" w:cs="Helvetica"/>
          <w:bCs/>
          <w:color w:val="006265"/>
          <w:kern w:val="36"/>
          <w:sz w:val="23"/>
          <w:szCs w:val="23"/>
          <w:lang w:eastAsia="es-ES"/>
        </w:rPr>
        <w:t xml:space="preserve">de la población </w:t>
      </w:r>
      <w:r w:rsidR="0057726A" w:rsidRPr="003E059A">
        <w:rPr>
          <w:rFonts w:ascii="Helvetica" w:eastAsia="Times New Roman" w:hAnsi="Helvetica" w:cs="Helvetica"/>
          <w:bCs/>
          <w:color w:val="006265"/>
          <w:kern w:val="36"/>
          <w:sz w:val="23"/>
          <w:szCs w:val="23"/>
          <w:lang w:eastAsia="es-ES"/>
        </w:rPr>
        <w:t>a poco más del 3% en 2017</w:t>
      </w:r>
    </w:p>
    <w:p w14:paraId="4BFC7C9B" w14:textId="70D8FD0A" w:rsidR="00EA1CA9" w:rsidRPr="003E059A" w:rsidRDefault="00CD60F1" w:rsidP="003E059A">
      <w:pPr>
        <w:numPr>
          <w:ilvl w:val="0"/>
          <w:numId w:val="7"/>
        </w:numPr>
        <w:shd w:val="clear" w:color="auto" w:fill="FFFFFF"/>
        <w:spacing w:before="120" w:after="200" w:line="300" w:lineRule="atLeast"/>
        <w:outlineLvl w:val="0"/>
        <w:rPr>
          <w:rFonts w:ascii="Helvetica" w:eastAsia="Times New Roman" w:hAnsi="Helvetica" w:cs="Helvetica"/>
          <w:bCs/>
          <w:color w:val="006265"/>
          <w:kern w:val="36"/>
          <w:sz w:val="23"/>
          <w:szCs w:val="23"/>
          <w:lang w:eastAsia="es-ES"/>
        </w:rPr>
      </w:pPr>
      <w:r w:rsidRPr="00BF100C">
        <w:rPr>
          <w:rFonts w:ascii="Helvetica" w:eastAsia="Times New Roman" w:hAnsi="Helvetica" w:cs="Helvetica"/>
          <w:bCs/>
          <w:color w:val="006265"/>
          <w:kern w:val="36"/>
          <w:sz w:val="23"/>
          <w:szCs w:val="23"/>
          <w:lang w:eastAsia="es-ES"/>
        </w:rPr>
        <w:t xml:space="preserve">En el periodo de crisis (2006 -2013), </w:t>
      </w:r>
      <w:r>
        <w:rPr>
          <w:rFonts w:ascii="Helvetica" w:eastAsia="Times New Roman" w:hAnsi="Helvetica" w:cs="Helvetica"/>
          <w:bCs/>
          <w:color w:val="006265"/>
          <w:kern w:val="36"/>
          <w:sz w:val="23"/>
          <w:szCs w:val="23"/>
          <w:lang w:eastAsia="es-ES"/>
        </w:rPr>
        <w:t>e</w:t>
      </w:r>
      <w:r w:rsidR="00351241" w:rsidRPr="003E059A">
        <w:rPr>
          <w:rFonts w:ascii="Helvetica" w:eastAsia="Times New Roman" w:hAnsi="Helvetica" w:cs="Helvetica"/>
          <w:bCs/>
          <w:color w:val="006265"/>
          <w:kern w:val="36"/>
          <w:sz w:val="23"/>
          <w:szCs w:val="23"/>
          <w:lang w:eastAsia="es-ES"/>
        </w:rPr>
        <w:t>l gasto total de los hogares cayó un 21,8%, excepto en el caso de los sustentados por mayores de 65 años</w:t>
      </w:r>
      <w:r w:rsidR="004B68EB" w:rsidRPr="003E059A">
        <w:rPr>
          <w:rFonts w:ascii="Helvetica" w:eastAsia="Times New Roman" w:hAnsi="Helvetica" w:cs="Helvetica"/>
          <w:bCs/>
          <w:color w:val="006265"/>
          <w:kern w:val="36"/>
          <w:sz w:val="23"/>
          <w:szCs w:val="23"/>
          <w:lang w:eastAsia="es-ES"/>
        </w:rPr>
        <w:t>, que creció un 2%</w:t>
      </w:r>
    </w:p>
    <w:p w14:paraId="304513F0" w14:textId="77777777" w:rsidR="00477217" w:rsidRPr="003E059A" w:rsidRDefault="0057726A" w:rsidP="003E059A">
      <w:pPr>
        <w:numPr>
          <w:ilvl w:val="0"/>
          <w:numId w:val="7"/>
        </w:numPr>
        <w:shd w:val="clear" w:color="auto" w:fill="FFFFFF"/>
        <w:spacing w:before="120" w:after="0" w:line="300" w:lineRule="atLeast"/>
        <w:ind w:left="714" w:hanging="357"/>
        <w:outlineLvl w:val="0"/>
        <w:rPr>
          <w:rFonts w:ascii="Helvetica" w:eastAsia="Times New Roman" w:hAnsi="Helvetica" w:cs="Helvetica"/>
          <w:bCs/>
          <w:color w:val="006265"/>
          <w:kern w:val="36"/>
          <w:sz w:val="23"/>
          <w:szCs w:val="23"/>
          <w:lang w:eastAsia="es-ES"/>
        </w:rPr>
      </w:pPr>
      <w:r w:rsidRPr="003E059A">
        <w:rPr>
          <w:rFonts w:ascii="Helvetica" w:eastAsia="Times New Roman" w:hAnsi="Helvetica" w:cs="Helvetica"/>
          <w:bCs/>
          <w:color w:val="006265"/>
          <w:kern w:val="36"/>
          <w:sz w:val="23"/>
          <w:szCs w:val="23"/>
          <w:lang w:eastAsia="es-ES"/>
        </w:rPr>
        <w:t xml:space="preserve">En la etapa de recuperación, iniciada en 2013, el gasto </w:t>
      </w:r>
      <w:r w:rsidR="00F96EBF" w:rsidRPr="003E059A">
        <w:rPr>
          <w:rFonts w:ascii="Helvetica" w:eastAsia="Times New Roman" w:hAnsi="Helvetica" w:cs="Helvetica"/>
          <w:bCs/>
          <w:color w:val="006265"/>
          <w:kern w:val="36"/>
          <w:sz w:val="23"/>
          <w:szCs w:val="23"/>
          <w:lang w:eastAsia="es-ES"/>
        </w:rPr>
        <w:t xml:space="preserve">por hogar </w:t>
      </w:r>
      <w:r w:rsidRPr="003E059A">
        <w:rPr>
          <w:rFonts w:ascii="Helvetica" w:eastAsia="Times New Roman" w:hAnsi="Helvetica" w:cs="Helvetica"/>
          <w:bCs/>
          <w:color w:val="006265"/>
          <w:kern w:val="36"/>
          <w:sz w:val="23"/>
          <w:szCs w:val="23"/>
          <w:lang w:eastAsia="es-ES"/>
        </w:rPr>
        <w:t>en hoteles, cafés y restaurantes es el que más crece, un 20,2% hasta 2017</w:t>
      </w:r>
    </w:p>
    <w:p w14:paraId="651A988E" w14:textId="77777777" w:rsidR="002B4C2F" w:rsidRDefault="002B4C2F" w:rsidP="003E059A">
      <w:pPr>
        <w:pBdr>
          <w:bottom w:val="single" w:sz="4" w:space="1" w:color="006265"/>
        </w:pBdr>
        <w:shd w:val="clear" w:color="auto" w:fill="FFFFFF"/>
        <w:spacing w:after="0" w:line="300" w:lineRule="atLeast"/>
        <w:outlineLvl w:val="0"/>
        <w:rPr>
          <w:rFonts w:ascii="Helvetica" w:eastAsia="Times New Roman" w:hAnsi="Helvetica" w:cs="Helvetica"/>
          <w:bCs/>
          <w:color w:val="006265"/>
          <w:kern w:val="36"/>
          <w:sz w:val="28"/>
          <w:szCs w:val="28"/>
          <w:lang w:eastAsia="es-ES"/>
        </w:rPr>
      </w:pPr>
    </w:p>
    <w:p w14:paraId="61DB88B2" w14:textId="1BAEE381" w:rsidR="00343E8B" w:rsidRDefault="002208F7" w:rsidP="0097624C">
      <w:pPr>
        <w:shd w:val="clear" w:color="auto" w:fill="FFFFFF"/>
        <w:spacing w:before="120" w:after="120" w:line="300" w:lineRule="atLeast"/>
        <w:jc w:val="both"/>
        <w:outlineLvl w:val="0"/>
        <w:rPr>
          <w:rFonts w:ascii="Helvetica" w:eastAsia="Times New Roman" w:hAnsi="Helvetica" w:cs="Helvetica"/>
          <w:b/>
          <w:bCs/>
          <w:color w:val="006265"/>
          <w:kern w:val="36"/>
          <w:sz w:val="28"/>
          <w:szCs w:val="28"/>
          <w:lang w:val="fr-BE" w:eastAsia="es-ES"/>
        </w:rPr>
      </w:pPr>
      <w:r>
        <w:rPr>
          <w:rFonts w:ascii="Helvetica" w:hAnsi="Helvetica" w:cs="Helvetica"/>
          <w:b/>
          <w:color w:val="333333"/>
          <w:lang w:val="fr-BE"/>
        </w:rPr>
        <w:t>Madrid</w:t>
      </w:r>
      <w:r w:rsidR="0082686C" w:rsidRPr="00B616BE">
        <w:rPr>
          <w:rFonts w:ascii="Helvetica" w:hAnsi="Helvetica" w:cs="Helvetica"/>
          <w:b/>
          <w:color w:val="333333"/>
          <w:lang w:val="fr-BE"/>
        </w:rPr>
        <w:t xml:space="preserve">, </w:t>
      </w:r>
      <w:r>
        <w:rPr>
          <w:rFonts w:ascii="Helvetica" w:hAnsi="Helvetica" w:cs="Helvetica"/>
          <w:b/>
          <w:color w:val="333333"/>
          <w:lang w:val="fr-BE"/>
        </w:rPr>
        <w:t xml:space="preserve">27 de </w:t>
      </w:r>
      <w:proofErr w:type="spellStart"/>
      <w:r>
        <w:rPr>
          <w:rFonts w:ascii="Helvetica" w:hAnsi="Helvetica" w:cs="Helvetica"/>
          <w:b/>
          <w:color w:val="333333"/>
          <w:lang w:val="fr-BE"/>
        </w:rPr>
        <w:t>junio</w:t>
      </w:r>
      <w:proofErr w:type="spellEnd"/>
      <w:r w:rsidR="0057726A" w:rsidRPr="00B616BE">
        <w:rPr>
          <w:rFonts w:ascii="Helvetica" w:hAnsi="Helvetica" w:cs="Helvetica"/>
          <w:b/>
          <w:color w:val="333333"/>
          <w:lang w:val="fr-BE"/>
        </w:rPr>
        <w:t xml:space="preserve"> de 2019</w:t>
      </w:r>
      <w:r w:rsidR="001C6DEC" w:rsidRPr="00B616BE">
        <w:rPr>
          <w:rFonts w:ascii="Helvetica" w:hAnsi="Helvetica" w:cs="Helvetica"/>
          <w:b/>
          <w:color w:val="333333"/>
          <w:lang w:val="fr-BE"/>
        </w:rPr>
        <w:t>.</w:t>
      </w:r>
      <w:r w:rsidR="001C6DEC" w:rsidRPr="00B616BE">
        <w:rPr>
          <w:rFonts w:ascii="Helvetica" w:eastAsia="Times New Roman" w:hAnsi="Helvetica" w:cs="Helvetica"/>
          <w:b/>
          <w:bCs/>
          <w:color w:val="006265"/>
          <w:kern w:val="36"/>
          <w:sz w:val="28"/>
          <w:szCs w:val="28"/>
          <w:lang w:val="fr-BE" w:eastAsia="es-ES"/>
        </w:rPr>
        <w:t xml:space="preserve"> </w:t>
      </w:r>
    </w:p>
    <w:p w14:paraId="1D371AA0" w14:textId="6A482E3C" w:rsidR="00343E8B" w:rsidRPr="00BF100C" w:rsidRDefault="00343E8B" w:rsidP="00343E8B">
      <w:pPr>
        <w:shd w:val="clear" w:color="auto" w:fill="FFFFFF"/>
        <w:spacing w:before="120" w:after="120" w:line="300" w:lineRule="atLeast"/>
        <w:jc w:val="both"/>
        <w:outlineLvl w:val="0"/>
        <w:rPr>
          <w:rFonts w:ascii="Helvetica" w:hAnsi="Helvetica" w:cs="Helvetica"/>
          <w:color w:val="000000" w:themeColor="text1"/>
        </w:rPr>
      </w:pPr>
      <w:r w:rsidRPr="00BF100C">
        <w:rPr>
          <w:rFonts w:ascii="Helvetica" w:hAnsi="Helvetica" w:cs="Helvetica"/>
          <w:color w:val="000000" w:themeColor="text1"/>
        </w:rPr>
        <w:t xml:space="preserve">La incorporación de la mujer </w:t>
      </w:r>
      <w:r w:rsidR="00242630" w:rsidRPr="00BF100C">
        <w:rPr>
          <w:rFonts w:ascii="Helvetica" w:hAnsi="Helvetica" w:cs="Helvetica"/>
          <w:color w:val="000000" w:themeColor="text1"/>
        </w:rPr>
        <w:t xml:space="preserve">como </w:t>
      </w:r>
      <w:r w:rsidR="002208F7" w:rsidRPr="00BF100C">
        <w:rPr>
          <w:rFonts w:ascii="Helvetica" w:hAnsi="Helvetica" w:cs="Helvetica"/>
          <w:color w:val="000000" w:themeColor="text1"/>
        </w:rPr>
        <w:t>pilar económico de los hogares españoles</w:t>
      </w:r>
      <w:r w:rsidRPr="00BF100C">
        <w:rPr>
          <w:rFonts w:ascii="Helvetica" w:hAnsi="Helvetica" w:cs="Helvetica"/>
          <w:color w:val="000000" w:themeColor="text1"/>
        </w:rPr>
        <w:t xml:space="preserve">, la reducción progresiva del tamaño medio de los hogares, el crecimiento de la clase media y la fuerte mejora en los niveles educativos son algunos de los principales cambios sociales que se </w:t>
      </w:r>
      <w:r w:rsidR="002208F7" w:rsidRPr="00BF100C">
        <w:rPr>
          <w:rFonts w:ascii="Helvetica" w:hAnsi="Helvetica" w:cs="Helvetica"/>
          <w:color w:val="000000" w:themeColor="text1"/>
        </w:rPr>
        <w:t>reflejan</w:t>
      </w:r>
      <w:r w:rsidRPr="00BF100C">
        <w:rPr>
          <w:rFonts w:ascii="Helvetica" w:hAnsi="Helvetica" w:cs="Helvetica"/>
          <w:color w:val="000000" w:themeColor="text1"/>
        </w:rPr>
        <w:t xml:space="preserve"> en la monografía </w:t>
      </w:r>
      <w:r w:rsidRPr="00BF100C">
        <w:rPr>
          <w:rFonts w:ascii="Helvetica" w:hAnsi="Helvetica" w:cs="Helvetica"/>
          <w:i/>
          <w:color w:val="000000" w:themeColor="text1"/>
        </w:rPr>
        <w:t>Patrones de consumo de los hogares españoles: evolución histórica (1973-2017) e impacto de la crisis de 2007</w:t>
      </w:r>
      <w:r w:rsidRPr="00BF100C">
        <w:rPr>
          <w:rFonts w:ascii="Helvetica" w:hAnsi="Helvetica" w:cs="Helvetica"/>
          <w:color w:val="000000" w:themeColor="text1"/>
        </w:rPr>
        <w:t>, elaborada por la Fundación Ramón Areces y el I</w:t>
      </w:r>
      <w:r w:rsidR="002208F7" w:rsidRPr="00BF100C">
        <w:rPr>
          <w:rFonts w:ascii="Helvetica" w:hAnsi="Helvetica" w:cs="Helvetica"/>
          <w:color w:val="000000" w:themeColor="text1"/>
        </w:rPr>
        <w:t>nstituto Valenciano de Investigaciones Económicas (Ivie)</w:t>
      </w:r>
      <w:r w:rsidRPr="00BF100C">
        <w:rPr>
          <w:rFonts w:ascii="Helvetica" w:hAnsi="Helvetica" w:cs="Helvetica"/>
          <w:color w:val="000000" w:themeColor="text1"/>
        </w:rPr>
        <w:t xml:space="preserve"> y del que son autores, el investigador del Ivie y catedrático de la </w:t>
      </w:r>
      <w:proofErr w:type="spellStart"/>
      <w:r w:rsidRPr="00BF100C">
        <w:rPr>
          <w:rFonts w:ascii="Helvetica" w:hAnsi="Helvetica" w:cs="Helvetica"/>
          <w:color w:val="000000" w:themeColor="text1"/>
        </w:rPr>
        <w:t>Universitat</w:t>
      </w:r>
      <w:proofErr w:type="spellEnd"/>
      <w:r w:rsidRPr="00BF100C">
        <w:rPr>
          <w:rFonts w:ascii="Helvetica" w:hAnsi="Helvetica" w:cs="Helvetica"/>
          <w:color w:val="000000" w:themeColor="text1"/>
        </w:rPr>
        <w:t xml:space="preserve"> de València </w:t>
      </w:r>
      <w:r w:rsidRPr="00BF100C">
        <w:rPr>
          <w:rFonts w:ascii="Helvetica" w:hAnsi="Helvetica" w:cs="Helvetica"/>
          <w:b/>
          <w:color w:val="000000" w:themeColor="text1"/>
        </w:rPr>
        <w:t xml:space="preserve">Joaquín </w:t>
      </w:r>
      <w:proofErr w:type="spellStart"/>
      <w:r w:rsidRPr="00BF100C">
        <w:rPr>
          <w:rFonts w:ascii="Helvetica" w:hAnsi="Helvetica" w:cs="Helvetica"/>
          <w:b/>
          <w:color w:val="000000" w:themeColor="text1"/>
        </w:rPr>
        <w:t>Aldás</w:t>
      </w:r>
      <w:proofErr w:type="spellEnd"/>
      <w:r w:rsidRPr="00BF100C">
        <w:rPr>
          <w:rFonts w:ascii="Helvetica" w:hAnsi="Helvetica" w:cs="Helvetica"/>
          <w:color w:val="000000" w:themeColor="text1"/>
        </w:rPr>
        <w:t xml:space="preserve"> y la economista, también del Ivie, </w:t>
      </w:r>
      <w:r w:rsidR="00BF100C">
        <w:rPr>
          <w:rFonts w:ascii="Helvetica" w:hAnsi="Helvetica" w:cs="Helvetica"/>
          <w:b/>
          <w:color w:val="000000" w:themeColor="text1"/>
        </w:rPr>
        <w:t>Marta Solaz.</w:t>
      </w:r>
    </w:p>
    <w:p w14:paraId="37240A6A" w14:textId="42F741A8" w:rsidR="005F551E" w:rsidRPr="00BF100C" w:rsidRDefault="00343E8B" w:rsidP="0097624C">
      <w:pPr>
        <w:shd w:val="clear" w:color="auto" w:fill="FFFFFF"/>
        <w:spacing w:before="120" w:after="120" w:line="300" w:lineRule="atLeast"/>
        <w:jc w:val="both"/>
        <w:outlineLvl w:val="0"/>
        <w:rPr>
          <w:rFonts w:ascii="Helvetica" w:hAnsi="Helvetica" w:cs="Helvetica"/>
          <w:color w:val="000000" w:themeColor="text1"/>
        </w:rPr>
      </w:pPr>
      <w:r w:rsidRPr="00BF100C">
        <w:rPr>
          <w:rFonts w:ascii="Helvetica" w:hAnsi="Helvetica" w:cs="Helvetica"/>
          <w:color w:val="000000" w:themeColor="text1"/>
        </w:rPr>
        <w:t>Según el estudio, l</w:t>
      </w:r>
      <w:r w:rsidR="00E86844" w:rsidRPr="00BF100C">
        <w:rPr>
          <w:rFonts w:ascii="Helvetica" w:hAnsi="Helvetica" w:cs="Helvetica"/>
          <w:color w:val="000000" w:themeColor="text1"/>
        </w:rPr>
        <w:t xml:space="preserve">as mujeres son </w:t>
      </w:r>
      <w:r w:rsidR="00982FEA" w:rsidRPr="00BF100C">
        <w:rPr>
          <w:rFonts w:ascii="Helvetica" w:hAnsi="Helvetica" w:cs="Helvetica"/>
          <w:color w:val="000000" w:themeColor="text1"/>
        </w:rPr>
        <w:t>el principal pilar económico del hogar</w:t>
      </w:r>
      <w:r w:rsidR="00E86844" w:rsidRPr="00BF100C">
        <w:rPr>
          <w:rFonts w:ascii="Helvetica" w:hAnsi="Helvetica" w:cs="Helvetica"/>
          <w:color w:val="000000" w:themeColor="text1"/>
        </w:rPr>
        <w:t xml:space="preserve"> –miembro cuya aportación periódica al presupuesto común del hogar es mayor- en </w:t>
      </w:r>
      <w:r w:rsidR="00F614BB" w:rsidRPr="00BF100C">
        <w:rPr>
          <w:rFonts w:ascii="Helvetica" w:hAnsi="Helvetica" w:cs="Helvetica"/>
          <w:color w:val="000000" w:themeColor="text1"/>
        </w:rPr>
        <w:t>el 33,6% de los hogares españo</w:t>
      </w:r>
      <w:r w:rsidR="00E86844" w:rsidRPr="00BF100C">
        <w:rPr>
          <w:rFonts w:ascii="Helvetica" w:hAnsi="Helvetica" w:cs="Helvetica"/>
          <w:color w:val="000000" w:themeColor="text1"/>
        </w:rPr>
        <w:t>les</w:t>
      </w:r>
      <w:r w:rsidR="00F614BB" w:rsidRPr="00BF100C">
        <w:rPr>
          <w:rFonts w:ascii="Helvetica" w:hAnsi="Helvetica" w:cs="Helvetica"/>
          <w:color w:val="000000" w:themeColor="text1"/>
        </w:rPr>
        <w:t xml:space="preserve">. Este porcentaje era solo del </w:t>
      </w:r>
      <w:r w:rsidR="00E86844" w:rsidRPr="00BF100C">
        <w:rPr>
          <w:rFonts w:ascii="Helvetica" w:hAnsi="Helvetica" w:cs="Helvetica"/>
          <w:color w:val="000000" w:themeColor="text1"/>
        </w:rPr>
        <w:t xml:space="preserve">13,7% en 1980. Es decir, en cuarenta años, </w:t>
      </w:r>
      <w:r w:rsidR="00F614BB" w:rsidRPr="00BF100C">
        <w:rPr>
          <w:rFonts w:ascii="Helvetica" w:hAnsi="Helvetica" w:cs="Helvetica"/>
          <w:color w:val="000000" w:themeColor="text1"/>
        </w:rPr>
        <w:t xml:space="preserve">el peso de </w:t>
      </w:r>
      <w:r w:rsidR="00E86844" w:rsidRPr="00BF100C">
        <w:rPr>
          <w:rFonts w:ascii="Helvetica" w:hAnsi="Helvetica" w:cs="Helvetica"/>
          <w:color w:val="000000" w:themeColor="text1"/>
        </w:rPr>
        <w:t xml:space="preserve">la mujer </w:t>
      </w:r>
      <w:r w:rsidR="00F614BB" w:rsidRPr="00BF100C">
        <w:rPr>
          <w:rFonts w:ascii="Helvetica" w:hAnsi="Helvetica" w:cs="Helvetica"/>
          <w:color w:val="000000" w:themeColor="text1"/>
        </w:rPr>
        <w:t xml:space="preserve">como pilar económico fundamental de los hogares españoles </w:t>
      </w:r>
      <w:r w:rsidR="005F551E" w:rsidRPr="00BF100C">
        <w:rPr>
          <w:rFonts w:ascii="Helvetica" w:hAnsi="Helvetica" w:cs="Helvetica"/>
          <w:color w:val="000000" w:themeColor="text1"/>
        </w:rPr>
        <w:t>pr</w:t>
      </w:r>
      <w:r w:rsidR="00242630" w:rsidRPr="00BF100C">
        <w:rPr>
          <w:rFonts w:ascii="Helvetica" w:hAnsi="Helvetica" w:cs="Helvetica"/>
          <w:color w:val="000000" w:themeColor="text1"/>
        </w:rPr>
        <w:t>á</w:t>
      </w:r>
      <w:r w:rsidR="005F551E" w:rsidRPr="00BF100C">
        <w:rPr>
          <w:rFonts w:ascii="Helvetica" w:hAnsi="Helvetica" w:cs="Helvetica"/>
          <w:color w:val="000000" w:themeColor="text1"/>
        </w:rPr>
        <w:t>cticamente</w:t>
      </w:r>
      <w:r w:rsidR="00F614BB" w:rsidRPr="00BF100C">
        <w:rPr>
          <w:rFonts w:ascii="Helvetica" w:hAnsi="Helvetica" w:cs="Helvetica"/>
          <w:color w:val="000000" w:themeColor="text1"/>
        </w:rPr>
        <w:t xml:space="preserve"> se ha triplicado.</w:t>
      </w:r>
      <w:r w:rsidR="00376333" w:rsidRPr="00BF100C">
        <w:rPr>
          <w:rFonts w:ascii="Helvetica" w:hAnsi="Helvetica" w:cs="Helvetica"/>
          <w:color w:val="000000" w:themeColor="text1"/>
        </w:rPr>
        <w:t xml:space="preserve"> </w:t>
      </w:r>
    </w:p>
    <w:p w14:paraId="485B6C88" w14:textId="229EA0A7" w:rsidR="00F614BB" w:rsidRDefault="00376333" w:rsidP="0097624C">
      <w:pPr>
        <w:shd w:val="clear" w:color="auto" w:fill="FFFFFF"/>
        <w:spacing w:before="120" w:after="120" w:line="300" w:lineRule="atLeast"/>
        <w:jc w:val="both"/>
        <w:outlineLvl w:val="0"/>
        <w:rPr>
          <w:rFonts w:ascii="Helvetica" w:hAnsi="Helvetica" w:cs="Helvetica"/>
          <w:color w:val="333333"/>
        </w:rPr>
      </w:pPr>
      <w:r w:rsidRPr="00BF100C">
        <w:rPr>
          <w:rFonts w:ascii="Helvetica" w:hAnsi="Helvetica" w:cs="Helvetica"/>
          <w:color w:val="000000" w:themeColor="text1"/>
        </w:rPr>
        <w:t xml:space="preserve">Además, el porcentaje de hogares sostenidos principalmente por mujeres se ha repartido en valores homogéneos similares en todos los tramos de edad. Mientras que en 1980 el porcentaje total de hogares con mujeres como principal </w:t>
      </w:r>
      <w:r w:rsidR="00982FEA" w:rsidRPr="00BF100C">
        <w:rPr>
          <w:rFonts w:ascii="Helvetica" w:hAnsi="Helvetica" w:cs="Helvetica"/>
          <w:color w:val="000000" w:themeColor="text1"/>
        </w:rPr>
        <w:t xml:space="preserve">fuente de ingresos </w:t>
      </w:r>
      <w:r w:rsidRPr="00BF100C">
        <w:rPr>
          <w:rFonts w:ascii="Helvetica" w:hAnsi="Helvetica" w:cs="Helvetica"/>
          <w:color w:val="000000" w:themeColor="text1"/>
        </w:rPr>
        <w:t xml:space="preserve">se </w:t>
      </w:r>
      <w:r>
        <w:rPr>
          <w:rFonts w:ascii="Helvetica" w:hAnsi="Helvetica" w:cs="Helvetica"/>
          <w:color w:val="333333"/>
        </w:rPr>
        <w:t xml:space="preserve">explicaba </w:t>
      </w:r>
      <w:proofErr w:type="gramStart"/>
      <w:r>
        <w:rPr>
          <w:rFonts w:ascii="Helvetica" w:hAnsi="Helvetica" w:cs="Helvetica"/>
          <w:color w:val="333333"/>
        </w:rPr>
        <w:lastRenderedPageBreak/>
        <w:t>por</w:t>
      </w:r>
      <w:proofErr w:type="gramEnd"/>
      <w:r>
        <w:rPr>
          <w:rFonts w:ascii="Helvetica" w:hAnsi="Helvetica" w:cs="Helvetica"/>
          <w:color w:val="333333"/>
        </w:rPr>
        <w:t xml:space="preserve"> el elevado peso de las mayores de 65 años, en 2017 los hogares con mujeres como principal soporte económico superan el 30% en </w:t>
      </w:r>
      <w:r w:rsidRPr="00376333">
        <w:rPr>
          <w:rFonts w:ascii="Helvetica" w:hAnsi="Helvetica" w:cs="Helvetica"/>
          <w:color w:val="333333"/>
        </w:rPr>
        <w:t>todas las franjas de edad</w:t>
      </w:r>
      <w:r>
        <w:rPr>
          <w:rFonts w:ascii="Helvetica" w:hAnsi="Helvetica" w:cs="Helvetica"/>
          <w:color w:val="333333"/>
        </w:rPr>
        <w:t xml:space="preserve">. </w:t>
      </w:r>
    </w:p>
    <w:tbl>
      <w:tblPr>
        <w:tblStyle w:val="Tablaconcuadrcu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990"/>
        <w:gridCol w:w="4032"/>
      </w:tblGrid>
      <w:tr w:rsidR="003E059A" w14:paraId="13A9DED1" w14:textId="77777777" w:rsidTr="00F96ACA">
        <w:tc>
          <w:tcPr>
            <w:tcW w:w="4432" w:type="dxa"/>
          </w:tcPr>
          <w:p w14:paraId="58BB27FE" w14:textId="77777777" w:rsidR="003E059A" w:rsidRDefault="003E059A" w:rsidP="003E059A">
            <w:pPr>
              <w:spacing w:before="120" w:after="0" w:line="300" w:lineRule="atLeast"/>
              <w:jc w:val="both"/>
              <w:outlineLvl w:val="0"/>
              <w:rPr>
                <w:b/>
                <w:noProof/>
                <w:sz w:val="20"/>
                <w:szCs w:val="20"/>
                <w:lang w:eastAsia="es-ES"/>
              </w:rPr>
            </w:pPr>
            <w:r w:rsidRPr="00B9296A">
              <w:rPr>
                <w:b/>
                <w:noProof/>
                <w:sz w:val="20"/>
                <w:szCs w:val="20"/>
                <w:lang w:eastAsia="es-ES"/>
              </w:rPr>
              <w:t>Evolución de los hogares en función del sexo</w:t>
            </w:r>
          </w:p>
          <w:p w14:paraId="41580920" w14:textId="1EFA151D" w:rsidR="003E059A" w:rsidRPr="00B9296A" w:rsidRDefault="003E059A" w:rsidP="003E059A">
            <w:pPr>
              <w:spacing w:after="0" w:line="300" w:lineRule="atLeast"/>
              <w:jc w:val="both"/>
              <w:outlineLvl w:val="0"/>
              <w:rPr>
                <w:b/>
                <w:noProof/>
                <w:sz w:val="20"/>
                <w:szCs w:val="20"/>
                <w:lang w:eastAsia="es-ES"/>
              </w:rPr>
            </w:pPr>
            <w:r w:rsidRPr="00B9296A">
              <w:rPr>
                <w:b/>
                <w:noProof/>
                <w:sz w:val="20"/>
                <w:szCs w:val="20"/>
                <w:lang w:eastAsia="es-ES"/>
              </w:rPr>
              <w:t>del sustentador principal (porcentaje)</w:t>
            </w:r>
          </w:p>
        </w:tc>
        <w:tc>
          <w:tcPr>
            <w:tcW w:w="4590" w:type="dxa"/>
          </w:tcPr>
          <w:p w14:paraId="6962F04E" w14:textId="77777777" w:rsidR="003E059A" w:rsidRPr="00B9296A" w:rsidRDefault="003E059A" w:rsidP="003E059A">
            <w:pPr>
              <w:spacing w:before="120" w:after="0" w:line="300" w:lineRule="atLeast"/>
              <w:outlineLvl w:val="0"/>
              <w:rPr>
                <w:b/>
                <w:noProof/>
                <w:sz w:val="20"/>
                <w:szCs w:val="20"/>
                <w:lang w:eastAsia="es-ES"/>
              </w:rPr>
            </w:pPr>
            <w:r w:rsidRPr="00B9296A">
              <w:rPr>
                <w:b/>
                <w:noProof/>
                <w:sz w:val="20"/>
                <w:szCs w:val="20"/>
                <w:lang w:eastAsia="es-ES"/>
              </w:rPr>
              <w:t>Hogares con mujeres sustentadoras princiales por tramo de edad. 1980 – 2017 (</w:t>
            </w:r>
            <w:r>
              <w:rPr>
                <w:b/>
                <w:noProof/>
                <w:sz w:val="20"/>
                <w:szCs w:val="20"/>
                <w:lang w:eastAsia="es-ES"/>
              </w:rPr>
              <w:t>p</w:t>
            </w:r>
            <w:r w:rsidRPr="00B9296A">
              <w:rPr>
                <w:b/>
                <w:noProof/>
                <w:sz w:val="20"/>
                <w:szCs w:val="20"/>
                <w:lang w:eastAsia="es-ES"/>
              </w:rPr>
              <w:t>orcentaje)</w:t>
            </w:r>
          </w:p>
        </w:tc>
      </w:tr>
      <w:tr w:rsidR="003E059A" w14:paraId="543109E4" w14:textId="77777777" w:rsidTr="00F96ACA">
        <w:tc>
          <w:tcPr>
            <w:tcW w:w="4432" w:type="dxa"/>
          </w:tcPr>
          <w:p w14:paraId="76D5C2C7" w14:textId="77777777" w:rsidR="003E059A" w:rsidRDefault="003E059A" w:rsidP="00F96ACA">
            <w:pPr>
              <w:spacing w:before="120" w:after="120" w:line="300" w:lineRule="atLeast"/>
              <w:jc w:val="both"/>
              <w:outlineLvl w:val="0"/>
              <w:rPr>
                <w:rFonts w:ascii="Helvetica" w:hAnsi="Helvetica" w:cs="Helvetica"/>
                <w:color w:val="333333"/>
              </w:rPr>
            </w:pPr>
            <w:r>
              <w:rPr>
                <w:noProof/>
                <w:lang w:eastAsia="es-ES"/>
              </w:rPr>
              <w:drawing>
                <wp:inline distT="0" distB="0" distL="0" distR="0" wp14:anchorId="78555C9F" wp14:editId="7DCF3612">
                  <wp:extent cx="3079750" cy="1866900"/>
                  <wp:effectExtent l="0" t="0" r="0" b="0"/>
                  <wp:docPr id="3" name="Gráfico 3">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B99CE977-C7E3-9A4E-8FED-E95C45294F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590" w:type="dxa"/>
          </w:tcPr>
          <w:p w14:paraId="019E37BF" w14:textId="77777777" w:rsidR="003E059A" w:rsidRDefault="003E059A" w:rsidP="003E059A">
            <w:pPr>
              <w:spacing w:after="40"/>
            </w:pPr>
          </w:p>
          <w:tbl>
            <w:tblPr>
              <w:tblW w:w="3760" w:type="dxa"/>
              <w:tblCellMar>
                <w:left w:w="70" w:type="dxa"/>
                <w:right w:w="70" w:type="dxa"/>
              </w:tblCellMar>
              <w:tblLook w:val="04A0" w:firstRow="1" w:lastRow="0" w:firstColumn="1" w:lastColumn="0" w:noHBand="0" w:noVBand="1"/>
            </w:tblPr>
            <w:tblGrid>
              <w:gridCol w:w="1360"/>
              <w:gridCol w:w="1486"/>
              <w:gridCol w:w="914"/>
            </w:tblGrid>
            <w:tr w:rsidR="003E059A" w:rsidRPr="00B9296A" w14:paraId="7922356A" w14:textId="77777777" w:rsidTr="00F96ACA">
              <w:trPr>
                <w:trHeight w:val="300"/>
              </w:trPr>
              <w:tc>
                <w:tcPr>
                  <w:tcW w:w="1360" w:type="dxa"/>
                  <w:vMerge w:val="restart"/>
                  <w:tcBorders>
                    <w:top w:val="nil"/>
                    <w:left w:val="nil"/>
                    <w:bottom w:val="nil"/>
                    <w:right w:val="nil"/>
                  </w:tcBorders>
                  <w:shd w:val="clear" w:color="000000" w:fill="002244"/>
                  <w:noWrap/>
                  <w:vAlign w:val="center"/>
                  <w:hideMark/>
                </w:tcPr>
                <w:p w14:paraId="2DCD39A2" w14:textId="77777777" w:rsidR="003E059A" w:rsidRPr="00B9296A" w:rsidRDefault="003E059A" w:rsidP="00F96ACA">
                  <w:pPr>
                    <w:spacing w:after="0" w:line="240" w:lineRule="auto"/>
                    <w:jc w:val="center"/>
                    <w:rPr>
                      <w:rFonts w:ascii="Segoe UI" w:eastAsia="Times New Roman" w:hAnsi="Segoe UI" w:cs="Segoe UI"/>
                      <w:b/>
                      <w:bCs/>
                      <w:color w:val="FFFFFF"/>
                      <w:sz w:val="16"/>
                      <w:szCs w:val="16"/>
                      <w:lang w:eastAsia="es-ES"/>
                    </w:rPr>
                  </w:pPr>
                  <w:r w:rsidRPr="00B9296A">
                    <w:rPr>
                      <w:rFonts w:ascii="Segoe UI" w:eastAsia="Times New Roman" w:hAnsi="Segoe UI" w:cs="Segoe UI"/>
                      <w:b/>
                      <w:bCs/>
                      <w:color w:val="FFFFFF"/>
                      <w:sz w:val="16"/>
                      <w:szCs w:val="16"/>
                      <w:lang w:eastAsia="es-ES"/>
                    </w:rPr>
                    <w:t>Tramo de edad</w:t>
                  </w:r>
                </w:p>
              </w:tc>
              <w:tc>
                <w:tcPr>
                  <w:tcW w:w="2400" w:type="dxa"/>
                  <w:gridSpan w:val="2"/>
                  <w:tcBorders>
                    <w:top w:val="nil"/>
                    <w:left w:val="nil"/>
                    <w:bottom w:val="nil"/>
                    <w:right w:val="nil"/>
                  </w:tcBorders>
                  <w:shd w:val="clear" w:color="000000" w:fill="64C8B9"/>
                  <w:noWrap/>
                  <w:vAlign w:val="center"/>
                  <w:hideMark/>
                </w:tcPr>
                <w:p w14:paraId="3528CBE1" w14:textId="77777777" w:rsidR="003E059A" w:rsidRPr="00B9296A" w:rsidRDefault="003E059A" w:rsidP="00F96ACA">
                  <w:pPr>
                    <w:spacing w:after="0" w:line="240" w:lineRule="auto"/>
                    <w:jc w:val="center"/>
                    <w:rPr>
                      <w:rFonts w:ascii="Segoe UI" w:eastAsia="Times New Roman" w:hAnsi="Segoe UI" w:cs="Segoe UI"/>
                      <w:color w:val="000000"/>
                      <w:sz w:val="16"/>
                      <w:szCs w:val="16"/>
                      <w:lang w:eastAsia="es-ES"/>
                    </w:rPr>
                  </w:pPr>
                  <w:r w:rsidRPr="00B9296A">
                    <w:rPr>
                      <w:rFonts w:ascii="Segoe UI" w:eastAsia="Times New Roman" w:hAnsi="Segoe UI" w:cs="Segoe UI"/>
                      <w:color w:val="000000"/>
                      <w:sz w:val="16"/>
                      <w:szCs w:val="16"/>
                      <w:lang w:eastAsia="es-ES"/>
                    </w:rPr>
                    <w:t>Año</w:t>
                  </w:r>
                </w:p>
              </w:tc>
            </w:tr>
            <w:tr w:rsidR="003E059A" w:rsidRPr="00B9296A" w14:paraId="64A5E135" w14:textId="77777777" w:rsidTr="00F96ACA">
              <w:trPr>
                <w:trHeight w:val="300"/>
              </w:trPr>
              <w:tc>
                <w:tcPr>
                  <w:tcW w:w="1360" w:type="dxa"/>
                  <w:vMerge/>
                  <w:tcBorders>
                    <w:top w:val="nil"/>
                    <w:left w:val="nil"/>
                    <w:bottom w:val="nil"/>
                    <w:right w:val="nil"/>
                  </w:tcBorders>
                  <w:vAlign w:val="center"/>
                  <w:hideMark/>
                </w:tcPr>
                <w:p w14:paraId="30680E52" w14:textId="77777777" w:rsidR="003E059A" w:rsidRPr="00B9296A" w:rsidRDefault="003E059A" w:rsidP="00F96ACA">
                  <w:pPr>
                    <w:spacing w:after="0" w:line="240" w:lineRule="auto"/>
                    <w:rPr>
                      <w:rFonts w:ascii="Segoe UI" w:eastAsia="Times New Roman" w:hAnsi="Segoe UI" w:cs="Segoe UI"/>
                      <w:b/>
                      <w:bCs/>
                      <w:color w:val="FFFFFF"/>
                      <w:sz w:val="16"/>
                      <w:szCs w:val="16"/>
                      <w:lang w:eastAsia="es-ES"/>
                    </w:rPr>
                  </w:pPr>
                </w:p>
              </w:tc>
              <w:tc>
                <w:tcPr>
                  <w:tcW w:w="1486" w:type="dxa"/>
                  <w:tcBorders>
                    <w:top w:val="nil"/>
                    <w:left w:val="nil"/>
                    <w:bottom w:val="nil"/>
                    <w:right w:val="nil"/>
                  </w:tcBorders>
                  <w:shd w:val="clear" w:color="000000" w:fill="E0F4F0"/>
                  <w:noWrap/>
                  <w:vAlign w:val="center"/>
                  <w:hideMark/>
                </w:tcPr>
                <w:p w14:paraId="22FA23C0" w14:textId="77777777" w:rsidR="003E059A" w:rsidRPr="00B9296A" w:rsidRDefault="003E059A" w:rsidP="00F96ACA">
                  <w:pPr>
                    <w:spacing w:after="0" w:line="240" w:lineRule="auto"/>
                    <w:jc w:val="right"/>
                    <w:rPr>
                      <w:rFonts w:ascii="Segoe UI" w:eastAsia="Times New Roman" w:hAnsi="Segoe UI" w:cs="Segoe UI"/>
                      <w:color w:val="000000"/>
                      <w:sz w:val="16"/>
                      <w:szCs w:val="16"/>
                      <w:lang w:eastAsia="es-ES"/>
                    </w:rPr>
                  </w:pPr>
                  <w:r w:rsidRPr="00B9296A">
                    <w:rPr>
                      <w:rFonts w:ascii="Segoe UI" w:eastAsia="Times New Roman" w:hAnsi="Segoe UI" w:cs="Segoe UI"/>
                      <w:color w:val="000000"/>
                      <w:sz w:val="16"/>
                      <w:szCs w:val="16"/>
                      <w:lang w:eastAsia="es-ES"/>
                    </w:rPr>
                    <w:t>1980/81</w:t>
                  </w:r>
                </w:p>
              </w:tc>
              <w:tc>
                <w:tcPr>
                  <w:tcW w:w="914" w:type="dxa"/>
                  <w:tcBorders>
                    <w:top w:val="nil"/>
                    <w:left w:val="nil"/>
                    <w:bottom w:val="nil"/>
                    <w:right w:val="nil"/>
                  </w:tcBorders>
                  <w:shd w:val="clear" w:color="000000" w:fill="E0F4F0"/>
                  <w:noWrap/>
                  <w:vAlign w:val="center"/>
                  <w:hideMark/>
                </w:tcPr>
                <w:p w14:paraId="713A4CEC" w14:textId="77777777" w:rsidR="003E059A" w:rsidRPr="00B9296A" w:rsidRDefault="003E059A" w:rsidP="00F96ACA">
                  <w:pPr>
                    <w:spacing w:after="0" w:line="240" w:lineRule="auto"/>
                    <w:jc w:val="right"/>
                    <w:rPr>
                      <w:rFonts w:ascii="Segoe UI" w:eastAsia="Times New Roman" w:hAnsi="Segoe UI" w:cs="Segoe UI"/>
                      <w:color w:val="000000"/>
                      <w:sz w:val="16"/>
                      <w:szCs w:val="16"/>
                      <w:lang w:eastAsia="es-ES"/>
                    </w:rPr>
                  </w:pPr>
                  <w:r w:rsidRPr="00B9296A">
                    <w:rPr>
                      <w:rFonts w:ascii="Segoe UI" w:eastAsia="Times New Roman" w:hAnsi="Segoe UI" w:cs="Segoe UI"/>
                      <w:color w:val="000000"/>
                      <w:sz w:val="16"/>
                      <w:szCs w:val="16"/>
                      <w:lang w:eastAsia="es-ES"/>
                    </w:rPr>
                    <w:t>2017</w:t>
                  </w:r>
                </w:p>
              </w:tc>
            </w:tr>
            <w:tr w:rsidR="003E059A" w:rsidRPr="00B9296A" w14:paraId="415B9C12" w14:textId="77777777" w:rsidTr="00F96ACA">
              <w:trPr>
                <w:trHeight w:val="315"/>
              </w:trPr>
              <w:tc>
                <w:tcPr>
                  <w:tcW w:w="1360" w:type="dxa"/>
                  <w:tcBorders>
                    <w:top w:val="nil"/>
                    <w:left w:val="nil"/>
                    <w:bottom w:val="single" w:sz="8" w:space="0" w:color="D9D9D9"/>
                    <w:right w:val="nil"/>
                  </w:tcBorders>
                  <w:shd w:val="clear" w:color="auto" w:fill="auto"/>
                  <w:noWrap/>
                  <w:vAlign w:val="center"/>
                  <w:hideMark/>
                </w:tcPr>
                <w:p w14:paraId="4ABDA89D" w14:textId="77777777" w:rsidR="003E059A" w:rsidRPr="00B9296A" w:rsidRDefault="003E059A" w:rsidP="00F96ACA">
                  <w:pPr>
                    <w:spacing w:after="0" w:line="240" w:lineRule="auto"/>
                    <w:rPr>
                      <w:rFonts w:ascii="Segoe UI" w:eastAsia="Times New Roman" w:hAnsi="Segoe UI" w:cs="Segoe UI"/>
                      <w:color w:val="000000"/>
                      <w:sz w:val="16"/>
                      <w:szCs w:val="16"/>
                      <w:lang w:eastAsia="es-ES"/>
                    </w:rPr>
                  </w:pPr>
                  <w:r w:rsidRPr="00B9296A">
                    <w:rPr>
                      <w:rFonts w:ascii="Segoe UI" w:eastAsia="Times New Roman" w:hAnsi="Segoe UI" w:cs="Segoe UI"/>
                      <w:color w:val="000000"/>
                      <w:sz w:val="16"/>
                      <w:szCs w:val="16"/>
                      <w:lang w:eastAsia="es-ES"/>
                    </w:rPr>
                    <w:t>Hasta 34 años</w:t>
                  </w:r>
                </w:p>
              </w:tc>
              <w:tc>
                <w:tcPr>
                  <w:tcW w:w="1486" w:type="dxa"/>
                  <w:tcBorders>
                    <w:top w:val="nil"/>
                    <w:left w:val="nil"/>
                    <w:bottom w:val="single" w:sz="8" w:space="0" w:color="D9D9D9"/>
                    <w:right w:val="nil"/>
                  </w:tcBorders>
                  <w:shd w:val="clear" w:color="auto" w:fill="auto"/>
                  <w:noWrap/>
                  <w:vAlign w:val="center"/>
                  <w:hideMark/>
                </w:tcPr>
                <w:p w14:paraId="68FA5A43" w14:textId="77777777" w:rsidR="003E059A" w:rsidRPr="00B9296A" w:rsidRDefault="003E059A" w:rsidP="00F96ACA">
                  <w:pPr>
                    <w:spacing w:after="0" w:line="240" w:lineRule="auto"/>
                    <w:jc w:val="right"/>
                    <w:rPr>
                      <w:rFonts w:ascii="Segoe UI" w:eastAsia="Times New Roman" w:hAnsi="Segoe UI" w:cs="Segoe UI"/>
                      <w:color w:val="000000"/>
                      <w:sz w:val="16"/>
                      <w:szCs w:val="16"/>
                      <w:lang w:eastAsia="es-ES"/>
                    </w:rPr>
                  </w:pPr>
                  <w:r w:rsidRPr="00B9296A">
                    <w:rPr>
                      <w:rFonts w:ascii="Segoe UI" w:eastAsia="Times New Roman" w:hAnsi="Segoe UI" w:cs="Segoe UI"/>
                      <w:color w:val="000000"/>
                      <w:sz w:val="16"/>
                      <w:szCs w:val="16"/>
                      <w:lang w:eastAsia="es-ES"/>
                    </w:rPr>
                    <w:t>8,9</w:t>
                  </w:r>
                </w:p>
              </w:tc>
              <w:tc>
                <w:tcPr>
                  <w:tcW w:w="914" w:type="dxa"/>
                  <w:tcBorders>
                    <w:top w:val="nil"/>
                    <w:left w:val="nil"/>
                    <w:bottom w:val="single" w:sz="8" w:space="0" w:color="D9D9D9"/>
                    <w:right w:val="nil"/>
                  </w:tcBorders>
                  <w:shd w:val="clear" w:color="auto" w:fill="auto"/>
                  <w:noWrap/>
                  <w:vAlign w:val="center"/>
                  <w:hideMark/>
                </w:tcPr>
                <w:p w14:paraId="6765A443" w14:textId="77777777" w:rsidR="003E059A" w:rsidRPr="00B9296A" w:rsidRDefault="003E059A" w:rsidP="00F96ACA">
                  <w:pPr>
                    <w:spacing w:after="0" w:line="240" w:lineRule="auto"/>
                    <w:jc w:val="right"/>
                    <w:rPr>
                      <w:rFonts w:ascii="Segoe UI" w:eastAsia="Times New Roman" w:hAnsi="Segoe UI" w:cs="Segoe UI"/>
                      <w:color w:val="010205"/>
                      <w:sz w:val="16"/>
                      <w:szCs w:val="16"/>
                      <w:lang w:eastAsia="es-ES"/>
                    </w:rPr>
                  </w:pPr>
                  <w:r w:rsidRPr="00B9296A">
                    <w:rPr>
                      <w:rFonts w:ascii="Segoe UI" w:eastAsia="Times New Roman" w:hAnsi="Segoe UI" w:cs="Segoe UI"/>
                      <w:color w:val="010205"/>
                      <w:sz w:val="16"/>
                      <w:szCs w:val="16"/>
                      <w:lang w:eastAsia="es-ES"/>
                    </w:rPr>
                    <w:t>33,7</w:t>
                  </w:r>
                </w:p>
              </w:tc>
            </w:tr>
            <w:tr w:rsidR="003E059A" w:rsidRPr="00B9296A" w14:paraId="1D0EE801" w14:textId="77777777" w:rsidTr="00F96ACA">
              <w:trPr>
                <w:trHeight w:val="315"/>
              </w:trPr>
              <w:tc>
                <w:tcPr>
                  <w:tcW w:w="1360" w:type="dxa"/>
                  <w:tcBorders>
                    <w:top w:val="nil"/>
                    <w:left w:val="nil"/>
                    <w:bottom w:val="single" w:sz="8" w:space="0" w:color="D9D9D9"/>
                    <w:right w:val="nil"/>
                  </w:tcBorders>
                  <w:shd w:val="clear" w:color="auto" w:fill="auto"/>
                  <w:noWrap/>
                  <w:vAlign w:val="center"/>
                  <w:hideMark/>
                </w:tcPr>
                <w:p w14:paraId="727F306F" w14:textId="77777777" w:rsidR="003E059A" w:rsidRPr="00B9296A" w:rsidRDefault="003E059A" w:rsidP="00F96ACA">
                  <w:pPr>
                    <w:spacing w:after="0" w:line="240" w:lineRule="auto"/>
                    <w:rPr>
                      <w:rFonts w:ascii="Segoe UI" w:eastAsia="Times New Roman" w:hAnsi="Segoe UI" w:cs="Segoe UI"/>
                      <w:color w:val="000000"/>
                      <w:sz w:val="16"/>
                      <w:szCs w:val="16"/>
                      <w:lang w:eastAsia="es-ES"/>
                    </w:rPr>
                  </w:pPr>
                  <w:r w:rsidRPr="00B9296A">
                    <w:rPr>
                      <w:rFonts w:ascii="Segoe UI" w:eastAsia="Times New Roman" w:hAnsi="Segoe UI" w:cs="Segoe UI"/>
                      <w:color w:val="000000"/>
                      <w:sz w:val="16"/>
                      <w:szCs w:val="16"/>
                      <w:lang w:eastAsia="es-ES"/>
                    </w:rPr>
                    <w:t>De 35 a 50 años</w:t>
                  </w:r>
                </w:p>
              </w:tc>
              <w:tc>
                <w:tcPr>
                  <w:tcW w:w="1486" w:type="dxa"/>
                  <w:tcBorders>
                    <w:top w:val="nil"/>
                    <w:left w:val="nil"/>
                    <w:bottom w:val="single" w:sz="8" w:space="0" w:color="D9D9D9"/>
                    <w:right w:val="nil"/>
                  </w:tcBorders>
                  <w:shd w:val="clear" w:color="auto" w:fill="auto"/>
                  <w:noWrap/>
                  <w:vAlign w:val="center"/>
                  <w:hideMark/>
                </w:tcPr>
                <w:p w14:paraId="1472009F" w14:textId="77777777" w:rsidR="003E059A" w:rsidRPr="00B9296A" w:rsidRDefault="003E059A" w:rsidP="00F96ACA">
                  <w:pPr>
                    <w:spacing w:after="0" w:line="240" w:lineRule="auto"/>
                    <w:jc w:val="right"/>
                    <w:rPr>
                      <w:rFonts w:ascii="Segoe UI" w:eastAsia="Times New Roman" w:hAnsi="Segoe UI" w:cs="Segoe UI"/>
                      <w:color w:val="000000"/>
                      <w:sz w:val="16"/>
                      <w:szCs w:val="16"/>
                      <w:lang w:eastAsia="es-ES"/>
                    </w:rPr>
                  </w:pPr>
                  <w:r w:rsidRPr="00B9296A">
                    <w:rPr>
                      <w:rFonts w:ascii="Segoe UI" w:eastAsia="Times New Roman" w:hAnsi="Segoe UI" w:cs="Segoe UI"/>
                      <w:color w:val="000000"/>
                      <w:sz w:val="16"/>
                      <w:szCs w:val="16"/>
                      <w:lang w:eastAsia="es-ES"/>
                    </w:rPr>
                    <w:t>7,4</w:t>
                  </w:r>
                </w:p>
              </w:tc>
              <w:tc>
                <w:tcPr>
                  <w:tcW w:w="914" w:type="dxa"/>
                  <w:tcBorders>
                    <w:top w:val="nil"/>
                    <w:left w:val="nil"/>
                    <w:bottom w:val="single" w:sz="8" w:space="0" w:color="D9D9D9"/>
                    <w:right w:val="nil"/>
                  </w:tcBorders>
                  <w:shd w:val="clear" w:color="auto" w:fill="auto"/>
                  <w:noWrap/>
                  <w:vAlign w:val="center"/>
                  <w:hideMark/>
                </w:tcPr>
                <w:p w14:paraId="748E959F" w14:textId="77777777" w:rsidR="003E059A" w:rsidRPr="00B9296A" w:rsidRDefault="003E059A" w:rsidP="00F96ACA">
                  <w:pPr>
                    <w:spacing w:after="0" w:line="240" w:lineRule="auto"/>
                    <w:jc w:val="right"/>
                    <w:rPr>
                      <w:rFonts w:ascii="Segoe UI" w:eastAsia="Times New Roman" w:hAnsi="Segoe UI" w:cs="Segoe UI"/>
                      <w:color w:val="010205"/>
                      <w:sz w:val="16"/>
                      <w:szCs w:val="16"/>
                      <w:lang w:eastAsia="es-ES"/>
                    </w:rPr>
                  </w:pPr>
                  <w:r w:rsidRPr="00B9296A">
                    <w:rPr>
                      <w:rFonts w:ascii="Segoe UI" w:eastAsia="Times New Roman" w:hAnsi="Segoe UI" w:cs="Segoe UI"/>
                      <w:color w:val="010205"/>
                      <w:sz w:val="16"/>
                      <w:szCs w:val="16"/>
                      <w:lang w:eastAsia="es-ES"/>
                    </w:rPr>
                    <w:t>30,9</w:t>
                  </w:r>
                </w:p>
              </w:tc>
            </w:tr>
            <w:tr w:rsidR="003E059A" w:rsidRPr="00B9296A" w14:paraId="25C82284" w14:textId="77777777" w:rsidTr="00F96ACA">
              <w:trPr>
                <w:trHeight w:val="315"/>
              </w:trPr>
              <w:tc>
                <w:tcPr>
                  <w:tcW w:w="1360" w:type="dxa"/>
                  <w:tcBorders>
                    <w:top w:val="nil"/>
                    <w:left w:val="nil"/>
                    <w:bottom w:val="single" w:sz="8" w:space="0" w:color="D9D9D9"/>
                    <w:right w:val="nil"/>
                  </w:tcBorders>
                  <w:shd w:val="clear" w:color="auto" w:fill="auto"/>
                  <w:noWrap/>
                  <w:vAlign w:val="center"/>
                  <w:hideMark/>
                </w:tcPr>
                <w:p w14:paraId="5FE72FC6" w14:textId="77777777" w:rsidR="003E059A" w:rsidRPr="00B9296A" w:rsidRDefault="003E059A" w:rsidP="00F96ACA">
                  <w:pPr>
                    <w:spacing w:after="0" w:line="240" w:lineRule="auto"/>
                    <w:rPr>
                      <w:rFonts w:ascii="Segoe UI" w:eastAsia="Times New Roman" w:hAnsi="Segoe UI" w:cs="Segoe UI"/>
                      <w:color w:val="000000"/>
                      <w:sz w:val="16"/>
                      <w:szCs w:val="16"/>
                      <w:lang w:eastAsia="es-ES"/>
                    </w:rPr>
                  </w:pPr>
                  <w:r w:rsidRPr="00B9296A">
                    <w:rPr>
                      <w:rFonts w:ascii="Segoe UI" w:eastAsia="Times New Roman" w:hAnsi="Segoe UI" w:cs="Segoe UI"/>
                      <w:color w:val="000000"/>
                      <w:sz w:val="16"/>
                      <w:szCs w:val="16"/>
                      <w:lang w:eastAsia="es-ES"/>
                    </w:rPr>
                    <w:t>De 51 a 64 años</w:t>
                  </w:r>
                </w:p>
              </w:tc>
              <w:tc>
                <w:tcPr>
                  <w:tcW w:w="1486" w:type="dxa"/>
                  <w:tcBorders>
                    <w:top w:val="nil"/>
                    <w:left w:val="nil"/>
                    <w:bottom w:val="single" w:sz="8" w:space="0" w:color="D9D9D9"/>
                    <w:right w:val="nil"/>
                  </w:tcBorders>
                  <w:shd w:val="clear" w:color="auto" w:fill="auto"/>
                  <w:noWrap/>
                  <w:vAlign w:val="center"/>
                  <w:hideMark/>
                </w:tcPr>
                <w:p w14:paraId="4320AEB9" w14:textId="77777777" w:rsidR="003E059A" w:rsidRPr="00B9296A" w:rsidRDefault="003E059A" w:rsidP="00F96ACA">
                  <w:pPr>
                    <w:spacing w:after="0" w:line="240" w:lineRule="auto"/>
                    <w:jc w:val="right"/>
                    <w:rPr>
                      <w:rFonts w:ascii="Segoe UI" w:eastAsia="Times New Roman" w:hAnsi="Segoe UI" w:cs="Segoe UI"/>
                      <w:color w:val="000000"/>
                      <w:sz w:val="16"/>
                      <w:szCs w:val="16"/>
                      <w:lang w:eastAsia="es-ES"/>
                    </w:rPr>
                  </w:pPr>
                  <w:r w:rsidRPr="00B9296A">
                    <w:rPr>
                      <w:rFonts w:ascii="Segoe UI" w:eastAsia="Times New Roman" w:hAnsi="Segoe UI" w:cs="Segoe UI"/>
                      <w:color w:val="000000"/>
                      <w:sz w:val="16"/>
                      <w:szCs w:val="16"/>
                      <w:lang w:eastAsia="es-ES"/>
                    </w:rPr>
                    <w:t>13,2</w:t>
                  </w:r>
                </w:p>
              </w:tc>
              <w:tc>
                <w:tcPr>
                  <w:tcW w:w="914" w:type="dxa"/>
                  <w:tcBorders>
                    <w:top w:val="nil"/>
                    <w:left w:val="nil"/>
                    <w:bottom w:val="single" w:sz="8" w:space="0" w:color="D9D9D9"/>
                    <w:right w:val="nil"/>
                  </w:tcBorders>
                  <w:shd w:val="clear" w:color="auto" w:fill="auto"/>
                  <w:noWrap/>
                  <w:vAlign w:val="center"/>
                  <w:hideMark/>
                </w:tcPr>
                <w:p w14:paraId="57DBC958" w14:textId="77777777" w:rsidR="003E059A" w:rsidRPr="00B9296A" w:rsidRDefault="003E059A" w:rsidP="00F96ACA">
                  <w:pPr>
                    <w:spacing w:after="0" w:line="240" w:lineRule="auto"/>
                    <w:jc w:val="right"/>
                    <w:rPr>
                      <w:rFonts w:ascii="Segoe UI" w:eastAsia="Times New Roman" w:hAnsi="Segoe UI" w:cs="Segoe UI"/>
                      <w:color w:val="010205"/>
                      <w:sz w:val="16"/>
                      <w:szCs w:val="16"/>
                      <w:lang w:eastAsia="es-ES"/>
                    </w:rPr>
                  </w:pPr>
                  <w:r w:rsidRPr="00B9296A">
                    <w:rPr>
                      <w:rFonts w:ascii="Segoe UI" w:eastAsia="Times New Roman" w:hAnsi="Segoe UI" w:cs="Segoe UI"/>
                      <w:color w:val="010205"/>
                      <w:sz w:val="16"/>
                      <w:szCs w:val="16"/>
                      <w:lang w:eastAsia="es-ES"/>
                    </w:rPr>
                    <w:t>30</w:t>
                  </w:r>
                </w:p>
              </w:tc>
            </w:tr>
            <w:tr w:rsidR="003E059A" w:rsidRPr="00B9296A" w14:paraId="6F3AF0BD" w14:textId="77777777" w:rsidTr="00F96ACA">
              <w:trPr>
                <w:trHeight w:val="300"/>
              </w:trPr>
              <w:tc>
                <w:tcPr>
                  <w:tcW w:w="1360" w:type="dxa"/>
                  <w:tcBorders>
                    <w:top w:val="nil"/>
                    <w:left w:val="nil"/>
                    <w:bottom w:val="nil"/>
                    <w:right w:val="nil"/>
                  </w:tcBorders>
                  <w:shd w:val="clear" w:color="auto" w:fill="auto"/>
                  <w:noWrap/>
                  <w:vAlign w:val="center"/>
                  <w:hideMark/>
                </w:tcPr>
                <w:p w14:paraId="09E0EADD" w14:textId="77777777" w:rsidR="003E059A" w:rsidRPr="00B9296A" w:rsidRDefault="003E059A" w:rsidP="00F96ACA">
                  <w:pPr>
                    <w:spacing w:after="0" w:line="240" w:lineRule="auto"/>
                    <w:rPr>
                      <w:rFonts w:ascii="Segoe UI" w:eastAsia="Times New Roman" w:hAnsi="Segoe UI" w:cs="Segoe UI"/>
                      <w:color w:val="000000"/>
                      <w:sz w:val="16"/>
                      <w:szCs w:val="16"/>
                      <w:lang w:eastAsia="es-ES"/>
                    </w:rPr>
                  </w:pPr>
                  <w:r w:rsidRPr="00B9296A">
                    <w:rPr>
                      <w:rFonts w:ascii="Segoe UI" w:eastAsia="Times New Roman" w:hAnsi="Segoe UI" w:cs="Segoe UI"/>
                      <w:color w:val="000000"/>
                      <w:sz w:val="16"/>
                      <w:szCs w:val="16"/>
                      <w:lang w:eastAsia="es-ES"/>
                    </w:rPr>
                    <w:t>65 años y más</w:t>
                  </w:r>
                </w:p>
              </w:tc>
              <w:tc>
                <w:tcPr>
                  <w:tcW w:w="1486" w:type="dxa"/>
                  <w:tcBorders>
                    <w:top w:val="nil"/>
                    <w:left w:val="nil"/>
                    <w:bottom w:val="nil"/>
                    <w:right w:val="nil"/>
                  </w:tcBorders>
                  <w:shd w:val="clear" w:color="auto" w:fill="auto"/>
                  <w:noWrap/>
                  <w:vAlign w:val="center"/>
                  <w:hideMark/>
                </w:tcPr>
                <w:p w14:paraId="149EC9A6" w14:textId="77777777" w:rsidR="003E059A" w:rsidRPr="00B9296A" w:rsidRDefault="003E059A" w:rsidP="00F96ACA">
                  <w:pPr>
                    <w:spacing w:after="0" w:line="240" w:lineRule="auto"/>
                    <w:jc w:val="right"/>
                    <w:rPr>
                      <w:rFonts w:ascii="Segoe UI" w:eastAsia="Times New Roman" w:hAnsi="Segoe UI" w:cs="Segoe UI"/>
                      <w:color w:val="000000"/>
                      <w:sz w:val="16"/>
                      <w:szCs w:val="16"/>
                      <w:lang w:eastAsia="es-ES"/>
                    </w:rPr>
                  </w:pPr>
                  <w:r w:rsidRPr="00B9296A">
                    <w:rPr>
                      <w:rFonts w:ascii="Segoe UI" w:eastAsia="Times New Roman" w:hAnsi="Segoe UI" w:cs="Segoe UI"/>
                      <w:color w:val="000000"/>
                      <w:sz w:val="16"/>
                      <w:szCs w:val="16"/>
                      <w:lang w:eastAsia="es-ES"/>
                    </w:rPr>
                    <w:t>30,4</w:t>
                  </w:r>
                </w:p>
              </w:tc>
              <w:tc>
                <w:tcPr>
                  <w:tcW w:w="914" w:type="dxa"/>
                  <w:tcBorders>
                    <w:top w:val="nil"/>
                    <w:left w:val="nil"/>
                    <w:bottom w:val="nil"/>
                    <w:right w:val="nil"/>
                  </w:tcBorders>
                  <w:shd w:val="clear" w:color="auto" w:fill="auto"/>
                  <w:noWrap/>
                  <w:vAlign w:val="center"/>
                  <w:hideMark/>
                </w:tcPr>
                <w:p w14:paraId="2AAAA2F9" w14:textId="77777777" w:rsidR="003E059A" w:rsidRPr="00B9296A" w:rsidRDefault="003E059A" w:rsidP="00F96ACA">
                  <w:pPr>
                    <w:spacing w:after="0" w:line="240" w:lineRule="auto"/>
                    <w:jc w:val="right"/>
                    <w:rPr>
                      <w:rFonts w:ascii="Segoe UI" w:eastAsia="Times New Roman" w:hAnsi="Segoe UI" w:cs="Segoe UI"/>
                      <w:color w:val="010205"/>
                      <w:sz w:val="16"/>
                      <w:szCs w:val="16"/>
                      <w:lang w:eastAsia="es-ES"/>
                    </w:rPr>
                  </w:pPr>
                  <w:r w:rsidRPr="00B9296A">
                    <w:rPr>
                      <w:rFonts w:ascii="Segoe UI" w:eastAsia="Times New Roman" w:hAnsi="Segoe UI" w:cs="Segoe UI"/>
                      <w:color w:val="010205"/>
                      <w:sz w:val="16"/>
                      <w:szCs w:val="16"/>
                      <w:lang w:eastAsia="es-ES"/>
                    </w:rPr>
                    <w:t>39,7</w:t>
                  </w:r>
                </w:p>
              </w:tc>
            </w:tr>
            <w:tr w:rsidR="003E059A" w:rsidRPr="00B9296A" w14:paraId="2A083B55" w14:textId="77777777" w:rsidTr="00F96ACA">
              <w:trPr>
                <w:trHeight w:val="300"/>
              </w:trPr>
              <w:tc>
                <w:tcPr>
                  <w:tcW w:w="1360" w:type="dxa"/>
                  <w:tcBorders>
                    <w:top w:val="nil"/>
                    <w:left w:val="nil"/>
                    <w:bottom w:val="nil"/>
                    <w:right w:val="nil"/>
                  </w:tcBorders>
                  <w:shd w:val="clear" w:color="000000" w:fill="C1E9E2"/>
                  <w:noWrap/>
                  <w:vAlign w:val="center"/>
                  <w:hideMark/>
                </w:tcPr>
                <w:p w14:paraId="43326B09" w14:textId="77777777" w:rsidR="003E059A" w:rsidRPr="00B9296A" w:rsidRDefault="003E059A" w:rsidP="00F96ACA">
                  <w:pPr>
                    <w:spacing w:after="0" w:line="240" w:lineRule="auto"/>
                    <w:rPr>
                      <w:rFonts w:ascii="Segoe UI" w:eastAsia="Times New Roman" w:hAnsi="Segoe UI" w:cs="Segoe UI"/>
                      <w:b/>
                      <w:bCs/>
                      <w:color w:val="000000"/>
                      <w:sz w:val="16"/>
                      <w:szCs w:val="16"/>
                      <w:lang w:eastAsia="es-ES"/>
                    </w:rPr>
                  </w:pPr>
                  <w:r w:rsidRPr="00B9296A">
                    <w:rPr>
                      <w:rFonts w:ascii="Segoe UI" w:eastAsia="Times New Roman" w:hAnsi="Segoe UI" w:cs="Segoe UI"/>
                      <w:b/>
                      <w:bCs/>
                      <w:color w:val="000000"/>
                      <w:sz w:val="16"/>
                      <w:szCs w:val="16"/>
                      <w:lang w:eastAsia="es-ES"/>
                    </w:rPr>
                    <w:t>Total</w:t>
                  </w:r>
                </w:p>
              </w:tc>
              <w:tc>
                <w:tcPr>
                  <w:tcW w:w="1486" w:type="dxa"/>
                  <w:tcBorders>
                    <w:top w:val="nil"/>
                    <w:left w:val="nil"/>
                    <w:bottom w:val="nil"/>
                    <w:right w:val="nil"/>
                  </w:tcBorders>
                  <w:shd w:val="clear" w:color="000000" w:fill="C1E9E2"/>
                  <w:noWrap/>
                  <w:vAlign w:val="center"/>
                  <w:hideMark/>
                </w:tcPr>
                <w:p w14:paraId="00411329" w14:textId="77777777" w:rsidR="003E059A" w:rsidRPr="00B9296A" w:rsidRDefault="003E059A" w:rsidP="00F96ACA">
                  <w:pPr>
                    <w:spacing w:after="0" w:line="240" w:lineRule="auto"/>
                    <w:jc w:val="right"/>
                    <w:rPr>
                      <w:rFonts w:ascii="Segoe UI" w:eastAsia="Times New Roman" w:hAnsi="Segoe UI" w:cs="Segoe UI"/>
                      <w:b/>
                      <w:bCs/>
                      <w:color w:val="000000"/>
                      <w:sz w:val="16"/>
                      <w:szCs w:val="16"/>
                      <w:lang w:eastAsia="es-ES"/>
                    </w:rPr>
                  </w:pPr>
                  <w:r w:rsidRPr="00B9296A">
                    <w:rPr>
                      <w:rFonts w:ascii="Segoe UI" w:eastAsia="Times New Roman" w:hAnsi="Segoe UI" w:cs="Segoe UI"/>
                      <w:b/>
                      <w:bCs/>
                      <w:color w:val="000000"/>
                      <w:sz w:val="16"/>
                      <w:szCs w:val="16"/>
                      <w:lang w:eastAsia="es-ES"/>
                    </w:rPr>
                    <w:t>13,7</w:t>
                  </w:r>
                </w:p>
              </w:tc>
              <w:tc>
                <w:tcPr>
                  <w:tcW w:w="914" w:type="dxa"/>
                  <w:tcBorders>
                    <w:top w:val="nil"/>
                    <w:left w:val="nil"/>
                    <w:bottom w:val="nil"/>
                    <w:right w:val="nil"/>
                  </w:tcBorders>
                  <w:shd w:val="clear" w:color="000000" w:fill="C1E9E2"/>
                  <w:noWrap/>
                  <w:vAlign w:val="center"/>
                  <w:hideMark/>
                </w:tcPr>
                <w:p w14:paraId="5B88CC08" w14:textId="77777777" w:rsidR="003E059A" w:rsidRPr="00B9296A" w:rsidRDefault="003E059A" w:rsidP="00F96ACA">
                  <w:pPr>
                    <w:spacing w:after="0" w:line="240" w:lineRule="auto"/>
                    <w:jc w:val="right"/>
                    <w:rPr>
                      <w:rFonts w:ascii="Segoe UI" w:eastAsia="Times New Roman" w:hAnsi="Segoe UI" w:cs="Segoe UI"/>
                      <w:b/>
                      <w:bCs/>
                      <w:color w:val="010205"/>
                      <w:sz w:val="16"/>
                      <w:szCs w:val="16"/>
                      <w:lang w:eastAsia="es-ES"/>
                    </w:rPr>
                  </w:pPr>
                  <w:r w:rsidRPr="00B9296A">
                    <w:rPr>
                      <w:rFonts w:ascii="Segoe UI" w:eastAsia="Times New Roman" w:hAnsi="Segoe UI" w:cs="Segoe UI"/>
                      <w:b/>
                      <w:bCs/>
                      <w:color w:val="010205"/>
                      <w:sz w:val="16"/>
                      <w:szCs w:val="16"/>
                      <w:lang w:eastAsia="es-ES"/>
                    </w:rPr>
                    <w:t>33,6</w:t>
                  </w:r>
                </w:p>
              </w:tc>
            </w:tr>
          </w:tbl>
          <w:p w14:paraId="18D8E760" w14:textId="77777777" w:rsidR="003E059A" w:rsidRDefault="003E059A" w:rsidP="00F96ACA">
            <w:pPr>
              <w:spacing w:before="120" w:after="120" w:line="300" w:lineRule="atLeast"/>
              <w:jc w:val="both"/>
              <w:outlineLvl w:val="0"/>
              <w:rPr>
                <w:rFonts w:ascii="Helvetica" w:hAnsi="Helvetica" w:cs="Helvetica"/>
                <w:color w:val="333333"/>
              </w:rPr>
            </w:pPr>
          </w:p>
        </w:tc>
      </w:tr>
    </w:tbl>
    <w:p w14:paraId="765F7B4A" w14:textId="77777777" w:rsidR="00BE2B01" w:rsidRDefault="00BE2B01" w:rsidP="0097624C">
      <w:pPr>
        <w:shd w:val="clear" w:color="auto" w:fill="FFFFFF"/>
        <w:spacing w:before="120" w:after="120" w:line="300" w:lineRule="atLeast"/>
        <w:jc w:val="both"/>
        <w:outlineLvl w:val="0"/>
        <w:rPr>
          <w:rFonts w:ascii="Helvetica" w:hAnsi="Helvetica" w:cs="Helvetica"/>
          <w:color w:val="333333"/>
        </w:rPr>
      </w:pPr>
      <w:r>
        <w:rPr>
          <w:rFonts w:ascii="Helvetica" w:hAnsi="Helvetica" w:cs="Helvetica"/>
          <w:color w:val="333333"/>
        </w:rPr>
        <w:t xml:space="preserve">En este periodo también se han producido grandes cambios en el tamaño de los hogares. </w:t>
      </w:r>
      <w:r w:rsidR="0042006D">
        <w:rPr>
          <w:rFonts w:ascii="Helvetica" w:hAnsi="Helvetica" w:cs="Helvetica"/>
          <w:color w:val="333333"/>
        </w:rPr>
        <w:t>La</w:t>
      </w:r>
      <w:r>
        <w:rPr>
          <w:rFonts w:ascii="Helvetica" w:hAnsi="Helvetica" w:cs="Helvetica"/>
          <w:color w:val="333333"/>
        </w:rPr>
        <w:t xml:space="preserve"> población española total ha crecido un 35% desde 1973, </w:t>
      </w:r>
      <w:r w:rsidR="0042006D">
        <w:rPr>
          <w:rFonts w:ascii="Helvetica" w:hAnsi="Helvetica" w:cs="Helvetica"/>
          <w:color w:val="333333"/>
        </w:rPr>
        <w:t xml:space="preserve">pero </w:t>
      </w:r>
      <w:r>
        <w:rPr>
          <w:rFonts w:ascii="Helvetica" w:hAnsi="Helvetica" w:cs="Helvetica"/>
          <w:color w:val="333333"/>
        </w:rPr>
        <w:t>el número de hogares se ha d</w:t>
      </w:r>
      <w:r w:rsidR="008564C0">
        <w:rPr>
          <w:rFonts w:ascii="Helvetica" w:hAnsi="Helvetica" w:cs="Helvetica"/>
          <w:color w:val="333333"/>
        </w:rPr>
        <w:t>uplicado</w:t>
      </w:r>
      <w:r>
        <w:rPr>
          <w:rFonts w:ascii="Helvetica" w:hAnsi="Helvetica" w:cs="Helvetica"/>
          <w:color w:val="333333"/>
        </w:rPr>
        <w:t xml:space="preserve">, al pasar de 9 millones a 18,5 millones en 2017. </w:t>
      </w:r>
      <w:r w:rsidR="00D67A83">
        <w:rPr>
          <w:rFonts w:ascii="Helvetica" w:hAnsi="Helvetica" w:cs="Helvetica"/>
          <w:color w:val="333333"/>
        </w:rPr>
        <w:t>Mientras que en 1980</w:t>
      </w:r>
      <w:r>
        <w:rPr>
          <w:rFonts w:ascii="Helvetica" w:hAnsi="Helvetica" w:cs="Helvetica"/>
          <w:color w:val="333333"/>
        </w:rPr>
        <w:t xml:space="preserve"> los hogares con cinco miembros o m</w:t>
      </w:r>
      <w:r w:rsidR="0042006D">
        <w:rPr>
          <w:rFonts w:ascii="Helvetica" w:hAnsi="Helvetica" w:cs="Helvetica"/>
          <w:color w:val="333333"/>
        </w:rPr>
        <w:t>ás eran casi</w:t>
      </w:r>
      <w:r>
        <w:rPr>
          <w:rFonts w:ascii="Helvetica" w:hAnsi="Helvetica" w:cs="Helvetica"/>
          <w:color w:val="333333"/>
        </w:rPr>
        <w:t xml:space="preserve"> el 30% de los existentes, esta cifra no llega al 6% actualmente. Por el contrario, el porcentaje de hogares formados por una o dos personas</w:t>
      </w:r>
      <w:r w:rsidR="00D67A83">
        <w:rPr>
          <w:rFonts w:ascii="Helvetica" w:hAnsi="Helvetica" w:cs="Helvetica"/>
          <w:color w:val="333333"/>
        </w:rPr>
        <w:t xml:space="preserve"> ha pasado del 29% al 56% en ese periodo.</w:t>
      </w:r>
      <w:r w:rsidR="00321C4A">
        <w:rPr>
          <w:rFonts w:ascii="Helvetica" w:hAnsi="Helvetica" w:cs="Helvetica"/>
          <w:color w:val="333333"/>
        </w:rPr>
        <w:t xml:space="preserve"> El peso de los hogares con hijos se ha </w:t>
      </w:r>
      <w:r w:rsidR="00A245CA">
        <w:rPr>
          <w:rFonts w:ascii="Helvetica" w:hAnsi="Helvetica" w:cs="Helvetica"/>
          <w:color w:val="333333"/>
        </w:rPr>
        <w:t xml:space="preserve">reducido más de 20 puntos porcentuales, </w:t>
      </w:r>
      <w:r w:rsidR="00321C4A">
        <w:rPr>
          <w:rFonts w:ascii="Helvetica" w:hAnsi="Helvetica" w:cs="Helvetica"/>
          <w:color w:val="333333"/>
        </w:rPr>
        <w:t xml:space="preserve">al pasar del </w:t>
      </w:r>
      <w:r w:rsidR="00A245CA">
        <w:rPr>
          <w:rFonts w:ascii="Helvetica" w:hAnsi="Helvetica" w:cs="Helvetica"/>
          <w:color w:val="333333"/>
        </w:rPr>
        <w:t>68,5</w:t>
      </w:r>
      <w:r w:rsidR="00120184">
        <w:rPr>
          <w:rFonts w:ascii="Helvetica" w:hAnsi="Helvetica" w:cs="Helvetica"/>
          <w:color w:val="333333"/>
        </w:rPr>
        <w:t>% al 46,6%.</w:t>
      </w:r>
    </w:p>
    <w:p w14:paraId="6EC56081" w14:textId="4F1DAEEC" w:rsidR="00E368DD" w:rsidRPr="00EF79AE" w:rsidRDefault="00EF79AE" w:rsidP="00EF79AE">
      <w:pPr>
        <w:spacing w:before="120" w:after="0" w:line="300" w:lineRule="atLeast"/>
        <w:jc w:val="center"/>
        <w:outlineLvl w:val="0"/>
        <w:rPr>
          <w:b/>
          <w:noProof/>
          <w:sz w:val="20"/>
          <w:szCs w:val="20"/>
          <w:lang w:eastAsia="es-ES"/>
        </w:rPr>
      </w:pPr>
      <w:r w:rsidRPr="00EF79AE">
        <w:rPr>
          <w:b/>
          <w:noProof/>
          <w:sz w:val="20"/>
          <w:szCs w:val="20"/>
          <w:lang w:eastAsia="es-ES"/>
        </w:rPr>
        <w:t>Evolución de los hogares en función del tamaño del mismo (porcentaje)</w:t>
      </w:r>
    </w:p>
    <w:p w14:paraId="25142D80" w14:textId="61FB84C7" w:rsidR="00E368DD" w:rsidRDefault="00EF79AE" w:rsidP="00EF79AE">
      <w:pPr>
        <w:shd w:val="clear" w:color="auto" w:fill="FFFFFF"/>
        <w:spacing w:before="120" w:after="120" w:line="300" w:lineRule="atLeast"/>
        <w:jc w:val="center"/>
        <w:outlineLvl w:val="0"/>
        <w:rPr>
          <w:rFonts w:ascii="Helvetica" w:hAnsi="Helvetica" w:cs="Helvetica"/>
          <w:color w:val="333333"/>
        </w:rPr>
      </w:pPr>
      <w:r>
        <w:rPr>
          <w:noProof/>
          <w:lang w:eastAsia="es-ES"/>
        </w:rPr>
        <w:drawing>
          <wp:inline distT="0" distB="0" distL="0" distR="0" wp14:anchorId="09219F63" wp14:editId="34B830EB">
            <wp:extent cx="3458817" cy="1921566"/>
            <wp:effectExtent l="0" t="0" r="0" b="0"/>
            <wp:docPr id="5" name="Gráfico 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237572D6-5F83-0C46-ADD1-1F6862DE1E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09B693" w14:textId="5275081F" w:rsidR="00D67A83" w:rsidRDefault="00D67A83" w:rsidP="0097624C">
      <w:pPr>
        <w:shd w:val="clear" w:color="auto" w:fill="FFFFFF"/>
        <w:spacing w:before="120" w:after="120" w:line="300" w:lineRule="atLeast"/>
        <w:jc w:val="both"/>
        <w:outlineLvl w:val="0"/>
        <w:rPr>
          <w:rFonts w:ascii="Helvetica" w:hAnsi="Helvetica" w:cs="Helvetica"/>
          <w:color w:val="333333"/>
        </w:rPr>
      </w:pPr>
      <w:r>
        <w:rPr>
          <w:rFonts w:ascii="Helvetica" w:hAnsi="Helvetica" w:cs="Helvetica"/>
          <w:color w:val="333333"/>
        </w:rPr>
        <w:t>Esta transformación del modelo de hogar se puede explicar tanto por la caída de la natalidad -con una</w:t>
      </w:r>
      <w:r w:rsidR="00557D57">
        <w:rPr>
          <w:rFonts w:ascii="Helvetica" w:hAnsi="Helvetica" w:cs="Helvetica"/>
          <w:color w:val="333333"/>
        </w:rPr>
        <w:t xml:space="preserve"> tasa de fecundidad que pasa de</w:t>
      </w:r>
      <w:r>
        <w:rPr>
          <w:rFonts w:ascii="Helvetica" w:hAnsi="Helvetica" w:cs="Helvetica"/>
          <w:color w:val="333333"/>
        </w:rPr>
        <w:t xml:space="preserve"> 2,84 hijos por mujer en 1970 a 1,33 en 2016- como por </w:t>
      </w:r>
      <w:r w:rsidR="004D5370">
        <w:rPr>
          <w:rFonts w:ascii="Helvetica" w:hAnsi="Helvetica" w:cs="Helvetica"/>
          <w:color w:val="333333"/>
        </w:rPr>
        <w:t>el incremento de la esperanza de vida</w:t>
      </w:r>
      <w:r w:rsidR="008564C0">
        <w:rPr>
          <w:rFonts w:ascii="Helvetica" w:hAnsi="Helvetica" w:cs="Helvetica"/>
          <w:color w:val="333333"/>
        </w:rPr>
        <w:t xml:space="preserve">, que </w:t>
      </w:r>
      <w:r w:rsidR="00B341BC">
        <w:rPr>
          <w:rFonts w:ascii="Helvetica" w:hAnsi="Helvetica" w:cs="Helvetica"/>
          <w:color w:val="333333"/>
        </w:rPr>
        <w:t>eleva el número de</w:t>
      </w:r>
      <w:r w:rsidR="008564C0">
        <w:rPr>
          <w:rFonts w:ascii="Helvetica" w:hAnsi="Helvetica" w:cs="Helvetica"/>
          <w:color w:val="333333"/>
        </w:rPr>
        <w:t xml:space="preserve"> </w:t>
      </w:r>
      <w:r w:rsidR="00B341BC">
        <w:rPr>
          <w:rFonts w:ascii="Helvetica" w:hAnsi="Helvetica" w:cs="Helvetica"/>
          <w:color w:val="333333"/>
        </w:rPr>
        <w:t>hogares ocupados por personas mayores de 65 años que viven solas o en pareja</w:t>
      </w:r>
      <w:r w:rsidR="00F96EBF">
        <w:rPr>
          <w:rFonts w:ascii="Helvetica" w:hAnsi="Helvetica" w:cs="Helvetica"/>
          <w:color w:val="333333"/>
        </w:rPr>
        <w:t xml:space="preserve"> hasta el 30,1% en 2017</w:t>
      </w:r>
      <w:r w:rsidR="00B341BC">
        <w:rPr>
          <w:rFonts w:ascii="Helvetica" w:hAnsi="Helvetica" w:cs="Helvetica"/>
          <w:color w:val="333333"/>
        </w:rPr>
        <w:t>, así como</w:t>
      </w:r>
      <w:r w:rsidR="0042006D">
        <w:rPr>
          <w:rFonts w:ascii="Helvetica" w:hAnsi="Helvetica" w:cs="Helvetica"/>
          <w:color w:val="333333"/>
        </w:rPr>
        <w:t xml:space="preserve"> por</w:t>
      </w:r>
      <w:r w:rsidR="00B341BC">
        <w:rPr>
          <w:rFonts w:ascii="Helvetica" w:hAnsi="Helvetica" w:cs="Helvetica"/>
          <w:color w:val="333333"/>
        </w:rPr>
        <w:t xml:space="preserve"> </w:t>
      </w:r>
      <w:r w:rsidR="004D5370">
        <w:rPr>
          <w:rFonts w:ascii="Helvetica" w:hAnsi="Helvetica" w:cs="Helvetica"/>
          <w:color w:val="333333"/>
        </w:rPr>
        <w:t xml:space="preserve">la </w:t>
      </w:r>
      <w:r w:rsidR="009C052C">
        <w:rPr>
          <w:rFonts w:ascii="Helvetica" w:hAnsi="Helvetica" w:cs="Helvetica"/>
          <w:color w:val="333333"/>
        </w:rPr>
        <w:t>aparición de nuevos modelos familiares.</w:t>
      </w:r>
    </w:p>
    <w:p w14:paraId="2A39B2C8" w14:textId="5054837D" w:rsidR="00E3724A" w:rsidRDefault="00982FEA" w:rsidP="0097624C">
      <w:pPr>
        <w:shd w:val="clear" w:color="auto" w:fill="FFFFFF"/>
        <w:spacing w:before="120" w:after="120" w:line="300" w:lineRule="atLeast"/>
        <w:jc w:val="both"/>
        <w:outlineLvl w:val="0"/>
        <w:rPr>
          <w:rFonts w:ascii="Helvetica" w:hAnsi="Helvetica" w:cs="Helvetica"/>
          <w:color w:val="333333"/>
        </w:rPr>
      </w:pPr>
      <w:r>
        <w:rPr>
          <w:rFonts w:ascii="Helvetica" w:hAnsi="Helvetica" w:cs="Helvetica"/>
          <w:color w:val="333333"/>
        </w:rPr>
        <w:t xml:space="preserve">Los autores </w:t>
      </w:r>
      <w:r w:rsidR="00E3724A">
        <w:rPr>
          <w:rFonts w:ascii="Helvetica" w:hAnsi="Helvetica" w:cs="Helvetica"/>
          <w:color w:val="333333"/>
        </w:rPr>
        <w:t>destaca</w:t>
      </w:r>
      <w:r w:rsidR="00A245CA">
        <w:rPr>
          <w:rFonts w:ascii="Helvetica" w:hAnsi="Helvetica" w:cs="Helvetica"/>
          <w:color w:val="333333"/>
        </w:rPr>
        <w:t>n en su informe</w:t>
      </w:r>
      <w:r w:rsidR="00E3724A">
        <w:rPr>
          <w:rFonts w:ascii="Helvetica" w:hAnsi="Helvetica" w:cs="Helvetica"/>
          <w:color w:val="333333"/>
        </w:rPr>
        <w:t xml:space="preserve"> los avances en los niveles educativos de los sustentadores principales de los hogares. Mientras </w:t>
      </w:r>
      <w:r w:rsidR="00D80A65">
        <w:rPr>
          <w:rFonts w:ascii="Helvetica" w:hAnsi="Helvetica" w:cs="Helvetica"/>
          <w:color w:val="333333"/>
        </w:rPr>
        <w:t xml:space="preserve">que en </w:t>
      </w:r>
      <w:r w:rsidR="00E3724A">
        <w:rPr>
          <w:rFonts w:ascii="Helvetica" w:hAnsi="Helvetica" w:cs="Helvetica"/>
          <w:color w:val="333333"/>
        </w:rPr>
        <w:t>1</w:t>
      </w:r>
      <w:r w:rsidR="00D80A65">
        <w:rPr>
          <w:rFonts w:ascii="Helvetica" w:hAnsi="Helvetica" w:cs="Helvetica"/>
          <w:color w:val="333333"/>
        </w:rPr>
        <w:t>980 sol</w:t>
      </w:r>
      <w:r w:rsidR="00557D57">
        <w:rPr>
          <w:rFonts w:ascii="Helvetica" w:hAnsi="Helvetica" w:cs="Helvetica"/>
          <w:color w:val="333333"/>
        </w:rPr>
        <w:t>o el 13% de los hogares contaba</w:t>
      </w:r>
      <w:r w:rsidR="00D80A65">
        <w:rPr>
          <w:rFonts w:ascii="Helvetica" w:hAnsi="Helvetica" w:cs="Helvetica"/>
          <w:color w:val="333333"/>
        </w:rPr>
        <w:t xml:space="preserve"> con un sustentador con estudios superiores o medios, en 2017 ese </w:t>
      </w:r>
      <w:r w:rsidR="00D80A65">
        <w:rPr>
          <w:rFonts w:ascii="Helvetica" w:hAnsi="Helvetica" w:cs="Helvetica"/>
          <w:color w:val="333333"/>
        </w:rPr>
        <w:lastRenderedPageBreak/>
        <w:t xml:space="preserve">porcentaje supera el 50%. Esta mejora está directamente relacionada con la evolución de las clases sociales. La clase social </w:t>
      </w:r>
      <w:r w:rsidR="008C3514">
        <w:rPr>
          <w:rFonts w:ascii="Helvetica" w:hAnsi="Helvetica" w:cs="Helvetica"/>
          <w:color w:val="333333"/>
        </w:rPr>
        <w:t>“</w:t>
      </w:r>
      <w:r w:rsidR="00D80A65">
        <w:rPr>
          <w:rFonts w:ascii="Helvetica" w:hAnsi="Helvetica" w:cs="Helvetica"/>
          <w:color w:val="333333"/>
        </w:rPr>
        <w:t>baja</w:t>
      </w:r>
      <w:r w:rsidR="008C3514">
        <w:rPr>
          <w:rFonts w:ascii="Helvetica" w:hAnsi="Helvetica" w:cs="Helvetica"/>
          <w:color w:val="333333"/>
        </w:rPr>
        <w:t>”</w:t>
      </w:r>
      <w:r w:rsidR="00D80A65">
        <w:rPr>
          <w:rFonts w:ascii="Helvetica" w:hAnsi="Helvetica" w:cs="Helvetica"/>
          <w:color w:val="333333"/>
        </w:rPr>
        <w:t xml:space="preserve">, entendida como aquella formada por trabajadores con bajos niveles formativos que llevan a cabo trabajos de baja cualificación, ha pasado de tener en 1980 </w:t>
      </w:r>
      <w:r w:rsidR="007E1A92">
        <w:rPr>
          <w:rFonts w:ascii="Helvetica" w:hAnsi="Helvetica" w:cs="Helvetica"/>
          <w:color w:val="333333"/>
        </w:rPr>
        <w:t xml:space="preserve">un peso </w:t>
      </w:r>
      <w:r w:rsidR="00D80A65">
        <w:rPr>
          <w:rFonts w:ascii="Helvetica" w:hAnsi="Helvetica" w:cs="Helvetica"/>
          <w:color w:val="333333"/>
        </w:rPr>
        <w:t>superior al 25% de los hogares a superar escasamente el 3% en 2017.</w:t>
      </w:r>
      <w:r w:rsidR="003F2FE8">
        <w:rPr>
          <w:rFonts w:ascii="Helvetica" w:hAnsi="Helvetica" w:cs="Helvetica"/>
          <w:color w:val="333333"/>
        </w:rPr>
        <w:t xml:space="preserve"> Por el contrario, las clases medias </w:t>
      </w:r>
      <w:r w:rsidR="003856C5">
        <w:rPr>
          <w:rFonts w:ascii="Helvetica" w:hAnsi="Helvetica" w:cs="Helvetica"/>
          <w:color w:val="333333"/>
        </w:rPr>
        <w:t xml:space="preserve">han pasado de concentrar el </w:t>
      </w:r>
      <w:r w:rsidR="00852B07">
        <w:rPr>
          <w:rFonts w:ascii="Helvetica" w:hAnsi="Helvetica" w:cs="Helvetica"/>
          <w:color w:val="333333"/>
        </w:rPr>
        <w:t>70,9</w:t>
      </w:r>
      <w:r w:rsidR="003856C5">
        <w:rPr>
          <w:rFonts w:ascii="Helvetica" w:hAnsi="Helvetica" w:cs="Helvetica"/>
          <w:color w:val="333333"/>
        </w:rPr>
        <w:t>% de los hogares al 80,8% en 2017</w:t>
      </w:r>
      <w:r w:rsidR="004E6DAD">
        <w:rPr>
          <w:rFonts w:ascii="Helvetica" w:hAnsi="Helvetica" w:cs="Helvetica"/>
          <w:color w:val="333333"/>
        </w:rPr>
        <w:t>.</w:t>
      </w:r>
    </w:p>
    <w:p w14:paraId="43D760D6" w14:textId="77777777" w:rsidR="00752DFD" w:rsidRDefault="00752DFD" w:rsidP="0097624C">
      <w:pPr>
        <w:shd w:val="clear" w:color="auto" w:fill="FFFFFF"/>
        <w:spacing w:before="120" w:after="120" w:line="300" w:lineRule="atLeast"/>
        <w:jc w:val="both"/>
        <w:outlineLvl w:val="0"/>
        <w:rPr>
          <w:rFonts w:ascii="Helvetica" w:hAnsi="Helvetica" w:cs="Helvetica"/>
          <w:color w:val="333333"/>
        </w:rPr>
      </w:pPr>
    </w:p>
    <w:p w14:paraId="38AAD326" w14:textId="77777777" w:rsidR="00752DFD" w:rsidRDefault="00752DFD" w:rsidP="0097624C">
      <w:pPr>
        <w:shd w:val="clear" w:color="auto" w:fill="FFFFFF"/>
        <w:spacing w:before="120" w:after="120" w:line="300" w:lineRule="atLeast"/>
        <w:jc w:val="both"/>
        <w:outlineLvl w:val="0"/>
        <w:rPr>
          <w:rFonts w:ascii="Helvetica" w:hAnsi="Helvetica" w:cs="Helvetica"/>
          <w:color w:val="333333"/>
        </w:rPr>
      </w:pPr>
    </w:p>
    <w:tbl>
      <w:tblPr>
        <w:tblStyle w:val="Tablaconcuadrcu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444"/>
        <w:gridCol w:w="4578"/>
      </w:tblGrid>
      <w:tr w:rsidR="00EF79AE" w14:paraId="7EE7229A" w14:textId="77777777" w:rsidTr="00752DFD">
        <w:tc>
          <w:tcPr>
            <w:tcW w:w="4835" w:type="dxa"/>
          </w:tcPr>
          <w:p w14:paraId="4423D5EB" w14:textId="6A2C8B44" w:rsidR="00EF79AE" w:rsidRPr="00B9296A" w:rsidRDefault="00EF79AE" w:rsidP="00752DFD">
            <w:pPr>
              <w:spacing w:before="120" w:after="0" w:line="300" w:lineRule="atLeast"/>
              <w:jc w:val="both"/>
              <w:outlineLvl w:val="0"/>
              <w:rPr>
                <w:b/>
                <w:noProof/>
                <w:sz w:val="20"/>
                <w:szCs w:val="20"/>
                <w:lang w:eastAsia="es-ES"/>
              </w:rPr>
            </w:pPr>
            <w:r w:rsidRPr="00B9296A">
              <w:rPr>
                <w:b/>
                <w:noProof/>
                <w:sz w:val="20"/>
                <w:szCs w:val="20"/>
                <w:lang w:eastAsia="es-ES"/>
              </w:rPr>
              <w:t xml:space="preserve">Evolución de los hogares en función </w:t>
            </w:r>
            <w:r w:rsidR="00752DFD">
              <w:rPr>
                <w:b/>
                <w:noProof/>
                <w:sz w:val="20"/>
                <w:szCs w:val="20"/>
                <w:lang w:eastAsia="es-ES"/>
              </w:rPr>
              <w:t>del nivel educativo del sustentador principal (porcentaje)</w:t>
            </w:r>
          </w:p>
        </w:tc>
        <w:tc>
          <w:tcPr>
            <w:tcW w:w="4187" w:type="dxa"/>
          </w:tcPr>
          <w:p w14:paraId="2DD27BE1" w14:textId="0BE3F915" w:rsidR="00EF79AE" w:rsidRPr="00B9296A" w:rsidRDefault="00752DFD" w:rsidP="00132C8A">
            <w:pPr>
              <w:spacing w:before="120" w:after="0" w:line="300" w:lineRule="atLeast"/>
              <w:outlineLvl w:val="0"/>
              <w:rPr>
                <w:b/>
                <w:noProof/>
                <w:sz w:val="20"/>
                <w:szCs w:val="20"/>
                <w:lang w:eastAsia="es-ES"/>
              </w:rPr>
            </w:pPr>
            <w:r>
              <w:rPr>
                <w:b/>
                <w:noProof/>
                <w:sz w:val="20"/>
                <w:szCs w:val="20"/>
                <w:lang w:eastAsia="es-ES"/>
              </w:rPr>
              <w:t>Evolución de los hogares en función de la clase social del sustentador principal</w:t>
            </w:r>
            <w:r w:rsidR="00EF79AE" w:rsidRPr="00B9296A">
              <w:rPr>
                <w:b/>
                <w:noProof/>
                <w:sz w:val="20"/>
                <w:szCs w:val="20"/>
                <w:lang w:eastAsia="es-ES"/>
              </w:rPr>
              <w:t xml:space="preserve"> (</w:t>
            </w:r>
            <w:r w:rsidR="00EF79AE">
              <w:rPr>
                <w:b/>
                <w:noProof/>
                <w:sz w:val="20"/>
                <w:szCs w:val="20"/>
                <w:lang w:eastAsia="es-ES"/>
              </w:rPr>
              <w:t>p</w:t>
            </w:r>
            <w:r w:rsidR="00EF79AE" w:rsidRPr="00B9296A">
              <w:rPr>
                <w:b/>
                <w:noProof/>
                <w:sz w:val="20"/>
                <w:szCs w:val="20"/>
                <w:lang w:eastAsia="es-ES"/>
              </w:rPr>
              <w:t>orcentaje)</w:t>
            </w:r>
          </w:p>
        </w:tc>
      </w:tr>
      <w:tr w:rsidR="00EF79AE" w14:paraId="14FB71CE" w14:textId="77777777" w:rsidTr="00752DFD">
        <w:tc>
          <w:tcPr>
            <w:tcW w:w="4835" w:type="dxa"/>
          </w:tcPr>
          <w:p w14:paraId="0427732C" w14:textId="55D20E30" w:rsidR="00EF79AE" w:rsidRDefault="00752DFD" w:rsidP="00132C8A">
            <w:pPr>
              <w:spacing w:before="120" w:after="120" w:line="300" w:lineRule="atLeast"/>
              <w:jc w:val="both"/>
              <w:outlineLvl w:val="0"/>
              <w:rPr>
                <w:rFonts w:ascii="Helvetica" w:hAnsi="Helvetica" w:cs="Helvetica"/>
                <w:color w:val="333333"/>
              </w:rPr>
            </w:pPr>
            <w:r>
              <w:rPr>
                <w:noProof/>
                <w:lang w:eastAsia="es-ES"/>
              </w:rPr>
              <w:drawing>
                <wp:inline distT="0" distB="0" distL="0" distR="0" wp14:anchorId="7677271E" wp14:editId="63EA7B03">
                  <wp:extent cx="2981739" cy="2345635"/>
                  <wp:effectExtent l="0" t="0" r="0" b="0"/>
                  <wp:docPr id="7" name="Gráfico 7">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6979CC8B-4435-6B4B-8E4E-D3488C7E80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187" w:type="dxa"/>
          </w:tcPr>
          <w:p w14:paraId="2708BB05" w14:textId="6003E3AF" w:rsidR="00EF79AE" w:rsidRDefault="00752DFD" w:rsidP="00132C8A">
            <w:pPr>
              <w:spacing w:before="120" w:after="120" w:line="300" w:lineRule="atLeast"/>
              <w:jc w:val="both"/>
              <w:outlineLvl w:val="0"/>
              <w:rPr>
                <w:rFonts w:ascii="Helvetica" w:hAnsi="Helvetica" w:cs="Helvetica"/>
                <w:color w:val="333333"/>
              </w:rPr>
            </w:pPr>
            <w:r>
              <w:rPr>
                <w:noProof/>
                <w:lang w:eastAsia="es-ES"/>
              </w:rPr>
              <w:drawing>
                <wp:inline distT="0" distB="0" distL="0" distR="0" wp14:anchorId="1042908E" wp14:editId="75C36444">
                  <wp:extent cx="3074505" cy="2196000"/>
                  <wp:effectExtent l="0" t="0" r="0" b="0"/>
                  <wp:docPr id="9" name="Gráfico 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C42B4EB8-0588-4D4E-8DAE-4AA5112BE5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028C7010" w14:textId="77777777" w:rsidR="00A245CA" w:rsidRDefault="00B341BC" w:rsidP="0097624C">
      <w:pPr>
        <w:shd w:val="clear" w:color="auto" w:fill="FFFFFF"/>
        <w:spacing w:before="120" w:after="120" w:line="300" w:lineRule="atLeast"/>
        <w:jc w:val="both"/>
        <w:outlineLvl w:val="0"/>
        <w:rPr>
          <w:rFonts w:ascii="Helvetica" w:hAnsi="Helvetica" w:cs="Helvetica"/>
          <w:color w:val="333333"/>
        </w:rPr>
      </w:pPr>
      <w:r>
        <w:rPr>
          <w:rFonts w:ascii="Helvetica" w:hAnsi="Helvetica" w:cs="Helvetica"/>
          <w:color w:val="333333"/>
        </w:rPr>
        <w:t>Además</w:t>
      </w:r>
      <w:r w:rsidR="00D03A62">
        <w:rPr>
          <w:rFonts w:ascii="Helvetica" w:hAnsi="Helvetica" w:cs="Helvetica"/>
          <w:color w:val="333333"/>
        </w:rPr>
        <w:t xml:space="preserve"> de los cambios estructurales</w:t>
      </w:r>
      <w:r>
        <w:rPr>
          <w:rFonts w:ascii="Helvetica" w:hAnsi="Helvetica" w:cs="Helvetica"/>
          <w:color w:val="333333"/>
        </w:rPr>
        <w:t xml:space="preserve">, el estudio </w:t>
      </w:r>
      <w:r w:rsidR="00D03A62">
        <w:rPr>
          <w:rFonts w:ascii="Helvetica" w:hAnsi="Helvetica" w:cs="Helvetica"/>
          <w:color w:val="333333"/>
        </w:rPr>
        <w:t xml:space="preserve">analiza </w:t>
      </w:r>
      <w:r>
        <w:rPr>
          <w:rFonts w:ascii="Helvetica" w:hAnsi="Helvetica" w:cs="Helvetica"/>
          <w:color w:val="333333"/>
        </w:rPr>
        <w:t xml:space="preserve">los efectos </w:t>
      </w:r>
      <w:r w:rsidR="00D03A62">
        <w:rPr>
          <w:rFonts w:ascii="Helvetica" w:hAnsi="Helvetica" w:cs="Helvetica"/>
          <w:color w:val="333333"/>
        </w:rPr>
        <w:t>de la transformación de la sociedad y del sistema económico</w:t>
      </w:r>
      <w:r>
        <w:rPr>
          <w:rFonts w:ascii="Helvetica" w:hAnsi="Helvetica" w:cs="Helvetica"/>
          <w:color w:val="333333"/>
        </w:rPr>
        <w:t xml:space="preserve"> </w:t>
      </w:r>
      <w:r w:rsidR="00D03A62">
        <w:rPr>
          <w:rFonts w:ascii="Helvetica" w:hAnsi="Helvetica" w:cs="Helvetica"/>
          <w:color w:val="333333"/>
        </w:rPr>
        <w:t>experimentada en</w:t>
      </w:r>
      <w:r>
        <w:rPr>
          <w:rFonts w:ascii="Helvetica" w:hAnsi="Helvetica" w:cs="Helvetica"/>
          <w:color w:val="333333"/>
        </w:rPr>
        <w:t xml:space="preserve"> los últimos cuarenta años en los patr</w:t>
      </w:r>
      <w:r w:rsidR="00A245CA">
        <w:rPr>
          <w:rFonts w:ascii="Helvetica" w:hAnsi="Helvetica" w:cs="Helvetica"/>
          <w:color w:val="333333"/>
        </w:rPr>
        <w:t>ones de consumo de los hogares</w:t>
      </w:r>
      <w:r>
        <w:rPr>
          <w:rFonts w:ascii="Helvetica" w:hAnsi="Helvetica" w:cs="Helvetica"/>
          <w:color w:val="333333"/>
        </w:rPr>
        <w:t xml:space="preserve"> y, más concretamente, los cambios </w:t>
      </w:r>
      <w:r w:rsidR="00A245CA">
        <w:rPr>
          <w:rFonts w:ascii="Helvetica" w:hAnsi="Helvetica" w:cs="Helvetica"/>
          <w:color w:val="333333"/>
        </w:rPr>
        <w:t xml:space="preserve">producidos </w:t>
      </w:r>
      <w:r>
        <w:rPr>
          <w:rFonts w:ascii="Helvetica" w:hAnsi="Helvetica" w:cs="Helvetica"/>
          <w:color w:val="333333"/>
        </w:rPr>
        <w:t xml:space="preserve">en el gasto </w:t>
      </w:r>
      <w:r w:rsidR="00A245CA">
        <w:rPr>
          <w:rFonts w:ascii="Helvetica" w:hAnsi="Helvetica" w:cs="Helvetica"/>
          <w:color w:val="333333"/>
        </w:rPr>
        <w:t>durante</w:t>
      </w:r>
      <w:r w:rsidR="00D80A65">
        <w:rPr>
          <w:rFonts w:ascii="Helvetica" w:hAnsi="Helvetica" w:cs="Helvetica"/>
          <w:color w:val="333333"/>
        </w:rPr>
        <w:t xml:space="preserve"> la</w:t>
      </w:r>
      <w:r w:rsidR="00A72FCE">
        <w:rPr>
          <w:rFonts w:ascii="Helvetica" w:hAnsi="Helvetica" w:cs="Helvetica"/>
          <w:color w:val="333333"/>
        </w:rPr>
        <w:t xml:space="preserve"> última</w:t>
      </w:r>
      <w:r>
        <w:rPr>
          <w:rFonts w:ascii="Helvetica" w:hAnsi="Helvetica" w:cs="Helvetica"/>
          <w:color w:val="333333"/>
        </w:rPr>
        <w:t xml:space="preserve"> crisis </w:t>
      </w:r>
      <w:r w:rsidR="00D80A65">
        <w:rPr>
          <w:rFonts w:ascii="Helvetica" w:hAnsi="Helvetica" w:cs="Helvetica"/>
          <w:color w:val="333333"/>
        </w:rPr>
        <w:t>econ</w:t>
      </w:r>
      <w:r w:rsidR="00A72FCE">
        <w:rPr>
          <w:rFonts w:ascii="Helvetica" w:hAnsi="Helvetica" w:cs="Helvetica"/>
          <w:color w:val="333333"/>
        </w:rPr>
        <w:t>ómica.</w:t>
      </w:r>
      <w:r w:rsidR="00557D57">
        <w:rPr>
          <w:rFonts w:ascii="Helvetica" w:hAnsi="Helvetica" w:cs="Helvetica"/>
          <w:color w:val="333333"/>
        </w:rPr>
        <w:t xml:space="preserve"> El consumo de los hogares supone casi el 60% del PIB y, por e</w:t>
      </w:r>
      <w:r w:rsidR="00BF4894">
        <w:rPr>
          <w:rFonts w:ascii="Helvetica" w:hAnsi="Helvetica" w:cs="Helvetica"/>
          <w:color w:val="333333"/>
        </w:rPr>
        <w:t xml:space="preserve">llo, puede determinar el ciclo </w:t>
      </w:r>
      <w:r w:rsidR="00557D57">
        <w:rPr>
          <w:rFonts w:ascii="Helvetica" w:hAnsi="Helvetica" w:cs="Helvetica"/>
          <w:color w:val="333333"/>
        </w:rPr>
        <w:t>de la economía española.</w:t>
      </w:r>
    </w:p>
    <w:p w14:paraId="60B3BB46" w14:textId="77777777" w:rsidR="003F2FE8" w:rsidRDefault="00A72FCE" w:rsidP="0097624C">
      <w:pPr>
        <w:shd w:val="clear" w:color="auto" w:fill="FFFFFF"/>
        <w:spacing w:before="120" w:after="120" w:line="300" w:lineRule="atLeast"/>
        <w:jc w:val="both"/>
        <w:outlineLvl w:val="0"/>
        <w:rPr>
          <w:rFonts w:ascii="Helvetica" w:hAnsi="Helvetica" w:cs="Helvetica"/>
          <w:color w:val="333333"/>
        </w:rPr>
      </w:pPr>
      <w:r>
        <w:rPr>
          <w:rFonts w:ascii="Helvetica" w:hAnsi="Helvetica" w:cs="Helvetica"/>
          <w:color w:val="333333"/>
        </w:rPr>
        <w:t>Entre 2006</w:t>
      </w:r>
      <w:r w:rsidR="003F2FE8">
        <w:rPr>
          <w:rFonts w:ascii="Helvetica" w:hAnsi="Helvetica" w:cs="Helvetica"/>
          <w:color w:val="333333"/>
        </w:rPr>
        <w:t xml:space="preserve"> y 2013, </w:t>
      </w:r>
      <w:r>
        <w:rPr>
          <w:rFonts w:ascii="Helvetica" w:hAnsi="Helvetica" w:cs="Helvetica"/>
          <w:color w:val="333333"/>
        </w:rPr>
        <w:t>el periodo en el que se produce la recesión, el consumo total de los hogares en España c</w:t>
      </w:r>
      <w:r w:rsidR="00D03A62">
        <w:rPr>
          <w:rFonts w:ascii="Helvetica" w:hAnsi="Helvetica" w:cs="Helvetica"/>
          <w:color w:val="333333"/>
        </w:rPr>
        <w:t xml:space="preserve">ayó </w:t>
      </w:r>
      <w:r>
        <w:rPr>
          <w:rFonts w:ascii="Helvetica" w:hAnsi="Helvetica" w:cs="Helvetica"/>
          <w:color w:val="333333"/>
        </w:rPr>
        <w:t>un 21,8%. Los únicos que vieron incrementar su gasto</w:t>
      </w:r>
      <w:r w:rsidR="00DE0F2E">
        <w:rPr>
          <w:rFonts w:ascii="Helvetica" w:hAnsi="Helvetica" w:cs="Helvetica"/>
          <w:color w:val="333333"/>
        </w:rPr>
        <w:t xml:space="preserve"> en este contexto de fuerte caída</w:t>
      </w:r>
      <w:r>
        <w:rPr>
          <w:rFonts w:ascii="Helvetica" w:hAnsi="Helvetica" w:cs="Helvetica"/>
          <w:color w:val="333333"/>
        </w:rPr>
        <w:t xml:space="preserve"> fueron aquellos en los que el sustentador</w:t>
      </w:r>
      <w:r w:rsidR="00DE0F2E">
        <w:rPr>
          <w:rFonts w:ascii="Helvetica" w:hAnsi="Helvetica" w:cs="Helvetica"/>
          <w:color w:val="333333"/>
        </w:rPr>
        <w:t xml:space="preserve"> principal era mayor de 65 años</w:t>
      </w:r>
      <w:r w:rsidR="00330F98">
        <w:rPr>
          <w:rFonts w:ascii="Helvetica" w:hAnsi="Helvetica" w:cs="Helvetica"/>
          <w:color w:val="333333"/>
        </w:rPr>
        <w:t xml:space="preserve">. Se trata de hogares con ingresos estables (pensión de jubilación) que tuvieron que </w:t>
      </w:r>
      <w:r w:rsidR="00DE0F2E">
        <w:rPr>
          <w:rFonts w:ascii="Helvetica" w:hAnsi="Helvetica" w:cs="Helvetica"/>
          <w:color w:val="333333"/>
        </w:rPr>
        <w:t>asumir parte de los gastos de</w:t>
      </w:r>
      <w:r w:rsidR="00330F98">
        <w:rPr>
          <w:rFonts w:ascii="Helvetica" w:hAnsi="Helvetica" w:cs="Helvetica"/>
          <w:color w:val="333333"/>
        </w:rPr>
        <w:t xml:space="preserve"> hogares establecidos por </w:t>
      </w:r>
      <w:r w:rsidR="00DE0F2E">
        <w:rPr>
          <w:rFonts w:ascii="Helvetica" w:hAnsi="Helvetica" w:cs="Helvetica"/>
          <w:color w:val="333333"/>
        </w:rPr>
        <w:t>hijos que sufrieron el desempleo.</w:t>
      </w:r>
      <w:r w:rsidR="00330F98">
        <w:rPr>
          <w:rFonts w:ascii="Helvetica" w:hAnsi="Helvetica" w:cs="Helvetica"/>
          <w:color w:val="333333"/>
        </w:rPr>
        <w:t xml:space="preserve"> El importante descenso del gasto de los hogares con sustentadores principales menores de 34 años (-33%) contrasta con el crecimiento en el gasto de los hogares con sustentadores mayores de 65</w:t>
      </w:r>
      <w:r w:rsidR="0042006D">
        <w:rPr>
          <w:rFonts w:ascii="Helvetica" w:hAnsi="Helvetica" w:cs="Helvetica"/>
          <w:color w:val="333333"/>
        </w:rPr>
        <w:t xml:space="preserve"> (</w:t>
      </w:r>
      <w:r w:rsidR="00E92E2E">
        <w:rPr>
          <w:rFonts w:ascii="Helvetica" w:hAnsi="Helvetica" w:cs="Helvetica"/>
          <w:color w:val="333333"/>
        </w:rPr>
        <w:t>+</w:t>
      </w:r>
      <w:r w:rsidR="0042006D">
        <w:rPr>
          <w:rFonts w:ascii="Helvetica" w:hAnsi="Helvetica" w:cs="Helvetica"/>
          <w:color w:val="333333"/>
        </w:rPr>
        <w:t>2%)</w:t>
      </w:r>
      <w:r w:rsidR="00330F98">
        <w:rPr>
          <w:rFonts w:ascii="Helvetica" w:hAnsi="Helvetica" w:cs="Helvetica"/>
          <w:color w:val="333333"/>
        </w:rPr>
        <w:t>.</w:t>
      </w:r>
    </w:p>
    <w:p w14:paraId="6A2465BD" w14:textId="53AB12F2" w:rsidR="00DE0F2E" w:rsidRDefault="0042006D" w:rsidP="0097624C">
      <w:pPr>
        <w:shd w:val="clear" w:color="auto" w:fill="FFFFFF"/>
        <w:spacing w:before="120" w:after="120" w:line="300" w:lineRule="atLeast"/>
        <w:jc w:val="both"/>
        <w:outlineLvl w:val="0"/>
        <w:rPr>
          <w:rFonts w:ascii="Helvetica" w:hAnsi="Helvetica" w:cs="Helvetica"/>
          <w:color w:val="333333"/>
        </w:rPr>
      </w:pPr>
      <w:r>
        <w:rPr>
          <w:rFonts w:ascii="Helvetica" w:hAnsi="Helvetica" w:cs="Helvetica"/>
          <w:color w:val="333333"/>
        </w:rPr>
        <w:t>Por su parte, los</w:t>
      </w:r>
      <w:r w:rsidR="00DE0F2E">
        <w:rPr>
          <w:rFonts w:ascii="Helvetica" w:hAnsi="Helvetica" w:cs="Helvetica"/>
          <w:color w:val="333333"/>
        </w:rPr>
        <w:t xml:space="preserve"> hogares con </w:t>
      </w:r>
      <w:r>
        <w:rPr>
          <w:rFonts w:ascii="Helvetica" w:hAnsi="Helvetica" w:cs="Helvetica"/>
          <w:color w:val="333333"/>
        </w:rPr>
        <w:t xml:space="preserve">menor capacidad adquisitiva </w:t>
      </w:r>
      <w:r w:rsidR="00DE0F2E">
        <w:rPr>
          <w:rFonts w:ascii="Helvetica" w:hAnsi="Helvetica" w:cs="Helvetica"/>
          <w:color w:val="333333"/>
        </w:rPr>
        <w:t xml:space="preserve">(clase social más </w:t>
      </w:r>
      <w:r>
        <w:rPr>
          <w:rFonts w:ascii="Helvetica" w:hAnsi="Helvetica" w:cs="Helvetica"/>
          <w:color w:val="333333"/>
        </w:rPr>
        <w:t>baja</w:t>
      </w:r>
      <w:r w:rsidR="00DE0F2E">
        <w:rPr>
          <w:rFonts w:ascii="Helvetica" w:hAnsi="Helvetica" w:cs="Helvetica"/>
          <w:color w:val="333333"/>
        </w:rPr>
        <w:t xml:space="preserve"> y </w:t>
      </w:r>
      <w:r w:rsidR="00852B07">
        <w:rPr>
          <w:rFonts w:ascii="Helvetica" w:hAnsi="Helvetica" w:cs="Helvetica"/>
          <w:color w:val="333333"/>
        </w:rPr>
        <w:t>c</w:t>
      </w:r>
      <w:r>
        <w:rPr>
          <w:rFonts w:ascii="Helvetica" w:hAnsi="Helvetica" w:cs="Helvetica"/>
          <w:color w:val="333333"/>
        </w:rPr>
        <w:t>o</w:t>
      </w:r>
      <w:r w:rsidR="00852B07">
        <w:rPr>
          <w:rFonts w:ascii="Helvetica" w:hAnsi="Helvetica" w:cs="Helvetica"/>
          <w:color w:val="333333"/>
        </w:rPr>
        <w:t>n</w:t>
      </w:r>
      <w:r>
        <w:rPr>
          <w:rFonts w:ascii="Helvetica" w:hAnsi="Helvetica" w:cs="Helvetica"/>
          <w:color w:val="333333"/>
        </w:rPr>
        <w:t xml:space="preserve"> menor</w:t>
      </w:r>
      <w:r w:rsidR="00DE0F2E">
        <w:rPr>
          <w:rFonts w:ascii="Helvetica" w:hAnsi="Helvetica" w:cs="Helvetica"/>
          <w:color w:val="333333"/>
        </w:rPr>
        <w:t xml:space="preserve"> nivel de estudios</w:t>
      </w:r>
      <w:r>
        <w:rPr>
          <w:rFonts w:ascii="Helvetica" w:hAnsi="Helvetica" w:cs="Helvetica"/>
          <w:color w:val="333333"/>
        </w:rPr>
        <w:t xml:space="preserve">) tuvieron menos </w:t>
      </w:r>
      <w:r w:rsidR="00586C23">
        <w:rPr>
          <w:rFonts w:ascii="Helvetica" w:hAnsi="Helvetica" w:cs="Helvetica"/>
          <w:color w:val="333333"/>
        </w:rPr>
        <w:t>margen para</w:t>
      </w:r>
      <w:r>
        <w:rPr>
          <w:rFonts w:ascii="Helvetica" w:hAnsi="Helvetica" w:cs="Helvetica"/>
          <w:color w:val="333333"/>
        </w:rPr>
        <w:t xml:space="preserve"> ajustar sus gastos y</w:t>
      </w:r>
      <w:r w:rsidR="002D5E1D">
        <w:rPr>
          <w:rFonts w:ascii="Helvetica" w:hAnsi="Helvetica" w:cs="Helvetica"/>
          <w:color w:val="333333"/>
        </w:rPr>
        <w:t xml:space="preserve"> como consecuencia,</w:t>
      </w:r>
      <w:r>
        <w:rPr>
          <w:rFonts w:ascii="Helvetica" w:hAnsi="Helvetica" w:cs="Helvetica"/>
          <w:color w:val="333333"/>
        </w:rPr>
        <w:t xml:space="preserve"> la caída porcentual en el gasto por hogar </w:t>
      </w:r>
      <w:r w:rsidR="002D5E1D">
        <w:rPr>
          <w:rFonts w:ascii="Helvetica" w:hAnsi="Helvetica" w:cs="Helvetica"/>
          <w:color w:val="333333"/>
        </w:rPr>
        <w:t xml:space="preserve">fue </w:t>
      </w:r>
      <w:r>
        <w:rPr>
          <w:rFonts w:ascii="Helvetica" w:hAnsi="Helvetica" w:cs="Helvetica"/>
          <w:color w:val="333333"/>
        </w:rPr>
        <w:t>menor (</w:t>
      </w:r>
      <w:r w:rsidR="00C07303">
        <w:rPr>
          <w:rFonts w:ascii="Helvetica" w:hAnsi="Helvetica" w:cs="Helvetica"/>
          <w:color w:val="333333"/>
        </w:rPr>
        <w:t>-</w:t>
      </w:r>
      <w:r>
        <w:rPr>
          <w:rFonts w:ascii="Helvetica" w:hAnsi="Helvetica" w:cs="Helvetica"/>
          <w:color w:val="333333"/>
        </w:rPr>
        <w:t>11,1% en los hogares de clase baja f</w:t>
      </w:r>
      <w:r w:rsidR="00C07303">
        <w:rPr>
          <w:rFonts w:ascii="Helvetica" w:hAnsi="Helvetica" w:cs="Helvetica"/>
          <w:color w:val="333333"/>
        </w:rPr>
        <w:t>rente al -</w:t>
      </w:r>
      <w:r>
        <w:rPr>
          <w:rFonts w:ascii="Helvetica" w:hAnsi="Helvetica" w:cs="Helvetica"/>
          <w:color w:val="333333"/>
        </w:rPr>
        <w:t>21,5% de los hogares de clase alta</w:t>
      </w:r>
      <w:r w:rsidR="00E92E2E">
        <w:rPr>
          <w:rFonts w:ascii="Helvetica" w:hAnsi="Helvetica" w:cs="Helvetica"/>
          <w:color w:val="333333"/>
        </w:rPr>
        <w:t>;</w:t>
      </w:r>
      <w:r w:rsidR="00C07303">
        <w:rPr>
          <w:rFonts w:ascii="Helvetica" w:hAnsi="Helvetica" w:cs="Helvetica"/>
          <w:color w:val="333333"/>
        </w:rPr>
        <w:t xml:space="preserve"> o el -7,2% en los </w:t>
      </w:r>
      <w:r w:rsidR="00C07303">
        <w:rPr>
          <w:rFonts w:ascii="Helvetica" w:hAnsi="Helvetica" w:cs="Helvetica"/>
          <w:color w:val="333333"/>
        </w:rPr>
        <w:lastRenderedPageBreak/>
        <w:t xml:space="preserve">hogares con el sustentador principal sin estudios frente al </w:t>
      </w:r>
      <w:r w:rsidR="00BF4894">
        <w:rPr>
          <w:rFonts w:ascii="Helvetica" w:hAnsi="Helvetica" w:cs="Helvetica"/>
          <w:color w:val="333333"/>
        </w:rPr>
        <w:t>-</w:t>
      </w:r>
      <w:r w:rsidR="00C07303">
        <w:rPr>
          <w:rFonts w:ascii="Helvetica" w:hAnsi="Helvetica" w:cs="Helvetica"/>
          <w:color w:val="333333"/>
        </w:rPr>
        <w:t>23,2% del que tiene estudios superiores).</w:t>
      </w:r>
    </w:p>
    <w:p w14:paraId="3057F899" w14:textId="68E6545E" w:rsidR="00752DFD" w:rsidRPr="00BF100C" w:rsidRDefault="002B0DDE" w:rsidP="0097624C">
      <w:pPr>
        <w:shd w:val="clear" w:color="auto" w:fill="FFFFFF"/>
        <w:spacing w:before="120" w:after="120" w:line="300" w:lineRule="atLeast"/>
        <w:jc w:val="both"/>
        <w:outlineLvl w:val="0"/>
        <w:rPr>
          <w:rFonts w:ascii="Helvetica" w:hAnsi="Helvetica" w:cs="Helvetica"/>
          <w:color w:val="000000" w:themeColor="text1"/>
        </w:rPr>
      </w:pPr>
      <w:r>
        <w:rPr>
          <w:rFonts w:ascii="Helvetica" w:hAnsi="Helvetica" w:cs="Helvetica"/>
          <w:color w:val="333333"/>
        </w:rPr>
        <w:t xml:space="preserve">La crisis en España mostró los cambios de patrón de consumo habituales en un periodo de recesión. Se produjo </w:t>
      </w:r>
      <w:bookmarkStart w:id="0" w:name="_GoBack"/>
      <w:r w:rsidRPr="00BF100C">
        <w:rPr>
          <w:rFonts w:ascii="Helvetica" w:hAnsi="Helvetica" w:cs="Helvetica"/>
          <w:color w:val="000000" w:themeColor="text1"/>
        </w:rPr>
        <w:t xml:space="preserve">una fuerte caída del gasto </w:t>
      </w:r>
      <w:r w:rsidR="002D5E1D" w:rsidRPr="00BF100C">
        <w:rPr>
          <w:rFonts w:ascii="Helvetica" w:hAnsi="Helvetica" w:cs="Helvetica"/>
          <w:color w:val="000000" w:themeColor="text1"/>
        </w:rPr>
        <w:t xml:space="preserve">por hogar </w:t>
      </w:r>
      <w:r w:rsidRPr="00BF100C">
        <w:rPr>
          <w:rFonts w:ascii="Helvetica" w:hAnsi="Helvetica" w:cs="Helvetica"/>
          <w:color w:val="000000" w:themeColor="text1"/>
        </w:rPr>
        <w:t>en bienes duraderos, como los muebles o electrodomésticos</w:t>
      </w:r>
      <w:r w:rsidR="007A6933" w:rsidRPr="00BF100C">
        <w:rPr>
          <w:rFonts w:ascii="Helvetica" w:hAnsi="Helvetica" w:cs="Helvetica"/>
          <w:color w:val="000000" w:themeColor="text1"/>
        </w:rPr>
        <w:t>,</w:t>
      </w:r>
      <w:r w:rsidR="008C3514" w:rsidRPr="00BF100C">
        <w:rPr>
          <w:rFonts w:ascii="Helvetica" w:hAnsi="Helvetica" w:cs="Helvetica"/>
          <w:color w:val="000000" w:themeColor="text1"/>
        </w:rPr>
        <w:t xml:space="preserve"> que lideraron</w:t>
      </w:r>
      <w:r w:rsidRPr="00BF100C">
        <w:rPr>
          <w:rFonts w:ascii="Helvetica" w:hAnsi="Helvetica" w:cs="Helvetica"/>
          <w:color w:val="000000" w:themeColor="text1"/>
        </w:rPr>
        <w:t xml:space="preserve"> la caída con un 44,3</w:t>
      </w:r>
      <w:r w:rsidR="007A6933" w:rsidRPr="00BF100C">
        <w:rPr>
          <w:rFonts w:ascii="Helvetica" w:hAnsi="Helvetica" w:cs="Helvetica"/>
          <w:color w:val="000000" w:themeColor="text1"/>
        </w:rPr>
        <w:t>% menos de gasto</w:t>
      </w:r>
      <w:r w:rsidRPr="00BF100C">
        <w:rPr>
          <w:rFonts w:ascii="Helvetica" w:hAnsi="Helvetica" w:cs="Helvetica"/>
          <w:color w:val="000000" w:themeColor="text1"/>
        </w:rPr>
        <w:t xml:space="preserve">. También los gastos en vestido y calzado </w:t>
      </w:r>
      <w:r w:rsidR="007A6933" w:rsidRPr="00BF100C">
        <w:rPr>
          <w:rFonts w:ascii="Helvetica" w:hAnsi="Helvetica" w:cs="Helvetica"/>
          <w:color w:val="000000" w:themeColor="text1"/>
        </w:rPr>
        <w:t>y la compra de vehículos</w:t>
      </w:r>
      <w:r w:rsidR="002D5E1D" w:rsidRPr="00BF100C">
        <w:rPr>
          <w:rFonts w:ascii="Helvetica" w:hAnsi="Helvetica" w:cs="Helvetica"/>
          <w:color w:val="000000" w:themeColor="text1"/>
        </w:rPr>
        <w:t xml:space="preserve"> y otros gastos de transporte</w:t>
      </w:r>
      <w:r w:rsidR="007A6933" w:rsidRPr="00BF100C">
        <w:rPr>
          <w:rFonts w:ascii="Helvetica" w:hAnsi="Helvetica" w:cs="Helvetica"/>
          <w:color w:val="000000" w:themeColor="text1"/>
        </w:rPr>
        <w:t xml:space="preserve"> </w:t>
      </w:r>
      <w:r w:rsidRPr="00BF100C">
        <w:rPr>
          <w:rFonts w:ascii="Helvetica" w:hAnsi="Helvetica" w:cs="Helvetica"/>
          <w:color w:val="000000" w:themeColor="text1"/>
        </w:rPr>
        <w:t>registraron fuertes descensos, del 42,8% y el 39,1%, respectivamente.</w:t>
      </w:r>
      <w:r w:rsidR="007A6933" w:rsidRPr="00BF100C">
        <w:rPr>
          <w:rFonts w:ascii="Helvetica" w:hAnsi="Helvetica" w:cs="Helvetica"/>
          <w:color w:val="000000" w:themeColor="text1"/>
        </w:rPr>
        <w:t xml:space="preserve"> Se trata de bienes cuya adquisición tienden a aplazar las familias a periodos de recuperación. El cuarto grupo en caída de gasto fue el del ocio, espectáculos y cultura. </w:t>
      </w:r>
    </w:p>
    <w:p w14:paraId="29A3DC6D" w14:textId="2E5F356F" w:rsidR="007A6933" w:rsidRPr="00752DFD" w:rsidRDefault="007A6933" w:rsidP="0097624C">
      <w:pPr>
        <w:shd w:val="clear" w:color="auto" w:fill="FFFFFF"/>
        <w:spacing w:before="120" w:after="120" w:line="300" w:lineRule="atLeast"/>
        <w:jc w:val="both"/>
        <w:outlineLvl w:val="0"/>
        <w:rPr>
          <w:rFonts w:ascii="Helvetica" w:hAnsi="Helvetica" w:cs="Helvetica"/>
          <w:color w:val="333333"/>
        </w:rPr>
      </w:pPr>
      <w:r w:rsidRPr="00BF100C">
        <w:rPr>
          <w:rFonts w:ascii="Helvetica" w:hAnsi="Helvetica" w:cs="Helvetica"/>
          <w:color w:val="000000" w:themeColor="text1"/>
        </w:rPr>
        <w:t xml:space="preserve">Sin embargo, a diferencia de otras recesiones, en esta también se produjo un fuerte retroceso en </w:t>
      </w:r>
      <w:r w:rsidR="008C3514" w:rsidRPr="00BF100C">
        <w:rPr>
          <w:rFonts w:ascii="Helvetica" w:hAnsi="Helvetica" w:cs="Helvetica"/>
          <w:color w:val="000000" w:themeColor="text1"/>
        </w:rPr>
        <w:t>la práctica totalidad de categorías de consumo</w:t>
      </w:r>
      <w:r w:rsidRPr="00BF100C">
        <w:rPr>
          <w:rFonts w:ascii="Helvetica" w:hAnsi="Helvetica" w:cs="Helvetica"/>
          <w:color w:val="000000" w:themeColor="text1"/>
        </w:rPr>
        <w:t>. No solo en servicios vinculados al esparcimiento como hoteles y restaurantes (-34</w:t>
      </w:r>
      <w:bookmarkEnd w:id="0"/>
      <w:r>
        <w:rPr>
          <w:rFonts w:ascii="Helvetica" w:hAnsi="Helvetica" w:cs="Helvetica"/>
          <w:color w:val="333333"/>
        </w:rPr>
        <w:t>,9%) o bienes de lujo (-25,2%), sino también los gastos en bienes y servicios básicos como la alimentación (-17,1%), la bebida (-16,7%) o la salud (13,4%). Los únicos grupos de gasto que continuaron creciendo durante la crisis fueron la vivienda (3,8%)</w:t>
      </w:r>
      <w:r w:rsidR="00D83940">
        <w:rPr>
          <w:rFonts w:ascii="Helvetica" w:hAnsi="Helvetica" w:cs="Helvetica"/>
          <w:color w:val="333333"/>
        </w:rPr>
        <w:t xml:space="preserve">, que incluye tanto los alquileres como los suministros de agua, gas y electricidad, </w:t>
      </w:r>
      <w:r>
        <w:rPr>
          <w:rFonts w:ascii="Helvetica" w:hAnsi="Helvetica" w:cs="Helvetica"/>
          <w:color w:val="333333"/>
        </w:rPr>
        <w:t>y la educación (13,6%).</w:t>
      </w:r>
      <w:r w:rsidR="001E31A3">
        <w:rPr>
          <w:rFonts w:ascii="Helvetica" w:hAnsi="Helvetica" w:cs="Helvetica"/>
          <w:color w:val="333333"/>
        </w:rPr>
        <w:t xml:space="preserve"> </w:t>
      </w:r>
    </w:p>
    <w:p w14:paraId="5DD8D0CA" w14:textId="05514669" w:rsidR="009306F6" w:rsidRPr="0091744C" w:rsidRDefault="009306F6" w:rsidP="0097624C">
      <w:pPr>
        <w:shd w:val="clear" w:color="auto" w:fill="FFFFFF"/>
        <w:spacing w:before="120" w:after="120" w:line="300" w:lineRule="atLeast"/>
        <w:jc w:val="both"/>
        <w:outlineLvl w:val="0"/>
        <w:rPr>
          <w:rFonts w:ascii="Helvetica" w:hAnsi="Helvetica" w:cs="Helvetica"/>
          <w:b/>
          <w:sz w:val="20"/>
          <w:szCs w:val="20"/>
        </w:rPr>
      </w:pPr>
      <w:r w:rsidRPr="0091744C">
        <w:rPr>
          <w:rFonts w:ascii="Helvetica" w:hAnsi="Helvetica" w:cs="Helvetica"/>
          <w:b/>
          <w:sz w:val="20"/>
          <w:szCs w:val="20"/>
        </w:rPr>
        <w:t xml:space="preserve">Tasa de variación real del gasto </w:t>
      </w:r>
      <w:r w:rsidR="0091744C">
        <w:rPr>
          <w:rFonts w:ascii="Helvetica" w:hAnsi="Helvetica" w:cs="Helvetica"/>
          <w:b/>
          <w:sz w:val="20"/>
          <w:szCs w:val="20"/>
        </w:rPr>
        <w:t xml:space="preserve">por hogar </w:t>
      </w:r>
      <w:r w:rsidRPr="0091744C">
        <w:rPr>
          <w:rFonts w:ascii="Helvetica" w:hAnsi="Helvetica" w:cs="Helvetica"/>
          <w:b/>
          <w:sz w:val="20"/>
          <w:szCs w:val="20"/>
        </w:rPr>
        <w:t>por grupo de gasto</w:t>
      </w:r>
      <w:r w:rsidR="0091744C">
        <w:rPr>
          <w:rFonts w:ascii="Helvetica" w:hAnsi="Helvetica" w:cs="Helvetica"/>
          <w:b/>
          <w:sz w:val="20"/>
          <w:szCs w:val="20"/>
        </w:rPr>
        <w:t xml:space="preserve">, </w:t>
      </w:r>
      <w:r w:rsidRPr="0091744C">
        <w:rPr>
          <w:rFonts w:ascii="Helvetica" w:hAnsi="Helvetica" w:cs="Helvetica"/>
          <w:b/>
          <w:sz w:val="20"/>
          <w:szCs w:val="20"/>
        </w:rPr>
        <w:t>2006 y 2013 (porcentaje)</w:t>
      </w:r>
    </w:p>
    <w:p w14:paraId="29A68132" w14:textId="6D8D088A" w:rsidR="009306F6" w:rsidRDefault="009306F6" w:rsidP="0097624C">
      <w:pPr>
        <w:shd w:val="clear" w:color="auto" w:fill="FFFFFF"/>
        <w:spacing w:before="120" w:after="120" w:line="300" w:lineRule="atLeast"/>
        <w:jc w:val="both"/>
        <w:outlineLvl w:val="0"/>
        <w:rPr>
          <w:rFonts w:ascii="Helvetica" w:hAnsi="Helvetica" w:cs="Helvetica"/>
          <w:color w:val="333333"/>
        </w:rPr>
      </w:pPr>
      <w:r>
        <w:rPr>
          <w:noProof/>
          <w:lang w:eastAsia="es-ES"/>
        </w:rPr>
        <w:drawing>
          <wp:inline distT="0" distB="0" distL="0" distR="0" wp14:anchorId="568D86AD" wp14:editId="757E93B7">
            <wp:extent cx="4146550" cy="3289300"/>
            <wp:effectExtent l="0" t="0" r="6350" b="0"/>
            <wp:docPr id="8" name="Gráfico 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646FD903-8ADF-2344-AB49-925ADA646F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E065EC" w14:textId="77777777" w:rsidR="00056161" w:rsidRDefault="00056161" w:rsidP="0097624C">
      <w:pPr>
        <w:shd w:val="clear" w:color="auto" w:fill="FFFFFF"/>
        <w:spacing w:before="120" w:after="120" w:line="300" w:lineRule="atLeast"/>
        <w:jc w:val="both"/>
        <w:outlineLvl w:val="0"/>
        <w:rPr>
          <w:rFonts w:ascii="Helvetica" w:hAnsi="Helvetica" w:cs="Helvetica"/>
          <w:color w:val="333333"/>
        </w:rPr>
      </w:pPr>
    </w:p>
    <w:p w14:paraId="0E4C148C" w14:textId="77777777" w:rsidR="00BE5BAB" w:rsidRPr="001E31A3" w:rsidRDefault="00BE5BAB" w:rsidP="0097624C">
      <w:pPr>
        <w:shd w:val="clear" w:color="auto" w:fill="FFFFFF"/>
        <w:spacing w:before="120" w:after="120" w:line="300" w:lineRule="atLeast"/>
        <w:jc w:val="both"/>
        <w:outlineLvl w:val="0"/>
        <w:rPr>
          <w:rFonts w:ascii="Helvetica" w:eastAsia="Times New Roman" w:hAnsi="Helvetica" w:cs="Helvetica"/>
          <w:b/>
          <w:bCs/>
          <w:color w:val="006265"/>
          <w:kern w:val="36"/>
          <w:sz w:val="24"/>
          <w:szCs w:val="24"/>
          <w:lang w:eastAsia="es-ES"/>
        </w:rPr>
      </w:pPr>
      <w:r w:rsidRPr="001E31A3">
        <w:rPr>
          <w:rFonts w:ascii="Helvetica" w:eastAsia="Times New Roman" w:hAnsi="Helvetica" w:cs="Helvetica"/>
          <w:b/>
          <w:bCs/>
          <w:color w:val="006265"/>
          <w:kern w:val="36"/>
          <w:sz w:val="24"/>
          <w:szCs w:val="24"/>
          <w:lang w:eastAsia="es-ES"/>
        </w:rPr>
        <w:t>El efecto de la recuperación</w:t>
      </w:r>
    </w:p>
    <w:p w14:paraId="17BCF543" w14:textId="77777777" w:rsidR="001E31A3" w:rsidRDefault="001E31A3" w:rsidP="0097624C">
      <w:pPr>
        <w:shd w:val="clear" w:color="auto" w:fill="FFFFFF"/>
        <w:spacing w:before="120" w:after="120" w:line="300" w:lineRule="atLeast"/>
        <w:jc w:val="both"/>
        <w:outlineLvl w:val="0"/>
        <w:rPr>
          <w:rFonts w:ascii="Helvetica" w:hAnsi="Helvetica" w:cs="Helvetica"/>
          <w:color w:val="333333"/>
        </w:rPr>
      </w:pPr>
      <w:r>
        <w:rPr>
          <w:rFonts w:ascii="Helvetica" w:hAnsi="Helvetica" w:cs="Helvetica"/>
          <w:color w:val="333333"/>
        </w:rPr>
        <w:t xml:space="preserve">Con la salida de la </w:t>
      </w:r>
      <w:r w:rsidR="00E92E2E">
        <w:rPr>
          <w:rFonts w:ascii="Helvetica" w:hAnsi="Helvetica" w:cs="Helvetica"/>
          <w:color w:val="333333"/>
        </w:rPr>
        <w:t>recesión</w:t>
      </w:r>
      <w:r>
        <w:rPr>
          <w:rFonts w:ascii="Helvetica" w:hAnsi="Helvetica" w:cs="Helvetica"/>
          <w:color w:val="333333"/>
        </w:rPr>
        <w:t xml:space="preserve">, el gasto en bienes duraderos que se había retraído remonta. El mobiliario y equipamiento del hogar, que fue el más perjudicado durante la crisis, crece un 8,1% entre 2013 y 2017; el vestido, el segundo más afectado, lo hace un 5,9%. La </w:t>
      </w:r>
      <w:r>
        <w:rPr>
          <w:rFonts w:ascii="Helvetica" w:hAnsi="Helvetica" w:cs="Helvetica"/>
          <w:color w:val="333333"/>
        </w:rPr>
        <w:lastRenderedPageBreak/>
        <w:t xml:space="preserve">compra de vehículos </w:t>
      </w:r>
      <w:r w:rsidR="002D5E1D">
        <w:rPr>
          <w:rFonts w:ascii="Helvetica" w:hAnsi="Helvetica" w:cs="Helvetica"/>
          <w:color w:val="333333"/>
        </w:rPr>
        <w:t xml:space="preserve">y gasto en transporte </w:t>
      </w:r>
      <w:r>
        <w:rPr>
          <w:rFonts w:ascii="Helvetica" w:hAnsi="Helvetica" w:cs="Helvetica"/>
          <w:color w:val="333333"/>
        </w:rPr>
        <w:t xml:space="preserve">crece un 9,4%, igual que el grupo de gasto de comunicaciones, en el que se incluye la telefonía móvil (9,1%). </w:t>
      </w:r>
    </w:p>
    <w:p w14:paraId="4719B9DF" w14:textId="77777777" w:rsidR="00BE5BAB" w:rsidRDefault="001E31A3" w:rsidP="0097624C">
      <w:pPr>
        <w:shd w:val="clear" w:color="auto" w:fill="FFFFFF"/>
        <w:spacing w:before="120" w:after="120" w:line="300" w:lineRule="atLeast"/>
        <w:jc w:val="both"/>
        <w:outlineLvl w:val="0"/>
        <w:rPr>
          <w:rFonts w:ascii="Helvetica" w:hAnsi="Helvetica" w:cs="Helvetica"/>
          <w:color w:val="333333"/>
        </w:rPr>
      </w:pPr>
      <w:r>
        <w:rPr>
          <w:rFonts w:ascii="Helvetica" w:hAnsi="Helvetica" w:cs="Helvetica"/>
          <w:color w:val="333333"/>
        </w:rPr>
        <w:t>Mientras el gasto en alimentación y bebidas cae durante la recuperación a tasas superiores al 1%, el gasto en hoteles, cafés y restaurantes es el grupo de gasto que más crece</w:t>
      </w:r>
      <w:r w:rsidR="00E92E2E">
        <w:rPr>
          <w:rFonts w:ascii="Helvetica" w:hAnsi="Helvetica" w:cs="Helvetica"/>
          <w:color w:val="333333"/>
        </w:rPr>
        <w:t xml:space="preserve"> con la salida de la recesión</w:t>
      </w:r>
      <w:r>
        <w:rPr>
          <w:rFonts w:ascii="Helvetica" w:hAnsi="Helvetica" w:cs="Helvetica"/>
          <w:color w:val="333333"/>
        </w:rPr>
        <w:t>, un 20,2%.</w:t>
      </w:r>
    </w:p>
    <w:p w14:paraId="40FC7222" w14:textId="31F61E9E" w:rsidR="0038239E" w:rsidRDefault="0038239E" w:rsidP="0097624C">
      <w:pPr>
        <w:shd w:val="clear" w:color="auto" w:fill="FFFFFF"/>
        <w:spacing w:before="120" w:after="120" w:line="300" w:lineRule="atLeast"/>
        <w:jc w:val="both"/>
        <w:outlineLvl w:val="0"/>
        <w:rPr>
          <w:rFonts w:ascii="Helvetica" w:hAnsi="Helvetica" w:cs="Helvetica"/>
          <w:color w:val="FF0000"/>
        </w:rPr>
      </w:pPr>
      <w:r>
        <w:rPr>
          <w:rFonts w:ascii="Helvetica" w:hAnsi="Helvetica" w:cs="Helvetica"/>
          <w:color w:val="333333"/>
        </w:rPr>
        <w:t xml:space="preserve">La enseñanza, que era de los pocos servicios que durante la crisis mantuvieron importantes niveles de crecimiento, sigue creciendo un 14,5% durante la recuperación. Por el contrario, el bien que ve reducido su nivel de gasto de manera más significativa en el periodo de recuperación es el gasto en vivienda (-4%). </w:t>
      </w:r>
    </w:p>
    <w:p w14:paraId="18E7B819" w14:textId="77777777" w:rsidR="00056161" w:rsidRDefault="00056161" w:rsidP="0097624C">
      <w:pPr>
        <w:shd w:val="clear" w:color="auto" w:fill="FFFFFF"/>
        <w:spacing w:before="120" w:after="120" w:line="300" w:lineRule="atLeast"/>
        <w:jc w:val="both"/>
        <w:outlineLvl w:val="0"/>
        <w:rPr>
          <w:rFonts w:ascii="Helvetica" w:hAnsi="Helvetica" w:cs="Helvetica"/>
          <w:color w:val="FF0000"/>
        </w:rPr>
      </w:pPr>
    </w:p>
    <w:p w14:paraId="22B2C955" w14:textId="4CA0A129" w:rsidR="00056161" w:rsidRPr="0091744C" w:rsidRDefault="00056161" w:rsidP="0097624C">
      <w:pPr>
        <w:shd w:val="clear" w:color="auto" w:fill="FFFFFF"/>
        <w:spacing w:before="120" w:after="120" w:line="300" w:lineRule="atLeast"/>
        <w:jc w:val="both"/>
        <w:outlineLvl w:val="0"/>
        <w:rPr>
          <w:rFonts w:ascii="Helvetica" w:hAnsi="Helvetica" w:cs="Helvetica"/>
          <w:b/>
          <w:sz w:val="20"/>
          <w:szCs w:val="20"/>
        </w:rPr>
      </w:pPr>
      <w:r w:rsidRPr="0091744C">
        <w:rPr>
          <w:rFonts w:ascii="Helvetica" w:hAnsi="Helvetica" w:cs="Helvetica"/>
          <w:b/>
          <w:sz w:val="20"/>
          <w:szCs w:val="20"/>
        </w:rPr>
        <w:t>Tasa de variación real del gasto por hogar por grupo de gasto, 2013-2017 (porcentaje)</w:t>
      </w:r>
    </w:p>
    <w:p w14:paraId="3FE27701" w14:textId="0EB2632B" w:rsidR="00056161" w:rsidRDefault="00056161" w:rsidP="0097624C">
      <w:pPr>
        <w:shd w:val="clear" w:color="auto" w:fill="FFFFFF"/>
        <w:spacing w:before="120" w:after="120" w:line="300" w:lineRule="atLeast"/>
        <w:jc w:val="both"/>
        <w:outlineLvl w:val="0"/>
        <w:rPr>
          <w:rFonts w:ascii="Helvetica" w:hAnsi="Helvetica" w:cs="Helvetica"/>
          <w:color w:val="333333"/>
        </w:rPr>
      </w:pPr>
      <w:r>
        <w:rPr>
          <w:noProof/>
          <w:lang w:eastAsia="es-ES"/>
        </w:rPr>
        <w:drawing>
          <wp:inline distT="0" distB="0" distL="0" distR="0" wp14:anchorId="6C9320F7" wp14:editId="1DE3BE9C">
            <wp:extent cx="4532243" cy="3392557"/>
            <wp:effectExtent l="0" t="0" r="0" b="0"/>
            <wp:docPr id="10" name="Gráfico 1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646FD903-8ADF-2344-AB49-925ADA646F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B35F30" w14:textId="77777777" w:rsidR="00C61659" w:rsidRDefault="00C61659" w:rsidP="0097624C">
      <w:pPr>
        <w:shd w:val="clear" w:color="auto" w:fill="FFFFFF"/>
        <w:spacing w:before="120" w:after="120" w:line="300" w:lineRule="atLeast"/>
        <w:jc w:val="both"/>
        <w:outlineLvl w:val="0"/>
        <w:rPr>
          <w:rFonts w:ascii="Helvetica" w:hAnsi="Helvetica" w:cs="Helvetica"/>
          <w:color w:val="333333"/>
        </w:rPr>
      </w:pPr>
    </w:p>
    <w:p w14:paraId="1F1634EC" w14:textId="77777777" w:rsidR="00FD79E1" w:rsidRPr="007152B8" w:rsidRDefault="009C32E5" w:rsidP="00F80BAE">
      <w:pPr>
        <w:autoSpaceDE w:val="0"/>
        <w:autoSpaceDN w:val="0"/>
        <w:adjustRightInd w:val="0"/>
        <w:spacing w:after="240" w:line="250" w:lineRule="exact"/>
        <w:textAlignment w:val="center"/>
        <w:rPr>
          <w:rFonts w:ascii="Helvetica" w:hAnsi="Helvetica" w:cs="Helvetica"/>
          <w:color w:val="FFFFFF"/>
        </w:rPr>
      </w:pPr>
      <w:r>
        <w:rPr>
          <w:noProof/>
          <w:lang w:eastAsia="es-ES"/>
        </w:rPr>
        <mc:AlternateContent>
          <mc:Choice Requires="wps">
            <w:drawing>
              <wp:anchor distT="0" distB="0" distL="114300" distR="114300" simplePos="0" relativeHeight="251657728" behindDoc="1" locked="0" layoutInCell="1" allowOverlap="1" wp14:anchorId="784EEC82" wp14:editId="06D42E97">
                <wp:simplePos x="0" y="0"/>
                <wp:positionH relativeFrom="column">
                  <wp:posOffset>14605</wp:posOffset>
                </wp:positionH>
                <wp:positionV relativeFrom="paragraph">
                  <wp:posOffset>154305</wp:posOffset>
                </wp:positionV>
                <wp:extent cx="2665730" cy="1313815"/>
                <wp:effectExtent l="0" t="0" r="1270" b="635"/>
                <wp:wrapNone/>
                <wp:docPr id="4" name="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5730" cy="1313815"/>
                        </a:xfrm>
                        <a:prstGeom prst="rect">
                          <a:avLst/>
                        </a:prstGeom>
                        <a:gradFill flip="none" rotWithShape="1">
                          <a:gsLst>
                            <a:gs pos="0">
                              <a:srgbClr val="006265">
                                <a:tint val="66000"/>
                                <a:satMod val="160000"/>
                              </a:srgbClr>
                            </a:gs>
                            <a:gs pos="50000">
                              <a:srgbClr val="006265">
                                <a:tint val="44500"/>
                                <a:satMod val="160000"/>
                              </a:srgbClr>
                            </a:gs>
                            <a:gs pos="100000">
                              <a:srgbClr val="006265">
                                <a:tint val="23500"/>
                                <a:satMod val="160000"/>
                              </a:srgbClr>
                            </a:gs>
                          </a:gsLst>
                          <a:lin ang="135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77752E" id="4 Rectángulo" o:spid="_x0000_s1026" style="position:absolute;margin-left:1.15pt;margin-top:12.15pt;width:209.9pt;height:10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5k7gIAAGMGAAAOAAAAZHJzL2Uyb0RvYy54bWysVdtu1DAQfUfiHyy/0yR7a4marVatipCW&#10;tqJFfZ51nMTCsY3tvZS/4Vv4McZ2tl0KElDxEtkz47mcmTk5Pdv1kmy4dUKrihZHOSVcMV0L1Vb0&#10;093lmxNKnAdVg9SKV/SBO3o2f/3qdGtKPtKdljW3BJ0oV25NRTvvTZlljnW8B3ekDVeobLTtwePV&#10;tlltYYvee5mN8nyWbbWtjdWMO4fSi6Sk8+i/aTjz103juCeyopibj18bv6vwzeanULYWTCfYkAa8&#10;IIsehMKgj64uwANZW/GLq14wq51u/BHTfaabRjAea8BqivxZNbcdGB5rQXCceYTJ/T+37GpzY4mo&#10;KzqhREGPLZqQjwjb92+qXUsdANoaV6LdrbmxoURnlpp9dqjIftKEixtsdo3tgy0WSHYR7YdHtPnO&#10;E4bC0Ww2PR5jUxjqinExPimmIVwG5f65sc6/47on4VBRi3lFlGGzdD6Z7k0G8OtLISVppMBZUjhx&#10;lFjt74XvIpYYJ3XJ4fv4whGjEc48ip1tV+fSkg2Eaclno9k0yr1QPglnszwfhsaB/6DrJC6COMox&#10;+cFLLKR1h1Gm0SpI/hxpMkHrNJ4viFSESH9b1Gj876GwznYPohSKQNj3IjgKcYljIDkOVZEq8ELy&#10;MFSpZbhusU0BCKnIFs1Gx+EVA+xaI8HjsTf43KmWEpAtUgvzNvZC6dBhdARlaP0FuC71wGkp6hSu&#10;Fx5JRYq+oicpoRRYqvCMR1oYBuhpaMNppesHXAccmTASxBl2KTDIEpy/AYvEgEIkO3+Nn0ZqzFwP&#10;J0o6bb/+Th7scV9RS8kWiQar+rIGi5Mp3yscvbfFZIJufbxMpscjvNhDzepQo9b9ucbpLGJ28Rjs&#10;vdwfG6v7e+TERYiKKlAMYyf8hsu5TwSIrMr4YhHNkI0M+KW6NSw438N7t7sHa4b187i5V3pPSlA+&#10;28JkG14qvVh73YjY7ydcB8JAJku7kVg3UOXhPVo9/RvmPwAAAP//AwBQSwMEFAAGAAgAAAAhAGTA&#10;H1XhAAAADQEAAA8AAABkcnMvZG93bnJldi54bWxMT8tOwzAQvCPxD9YicaNO3AqqNE4VHhUCLvRx&#10;4OjGixMR25Httunfsz3BZUe7szs7Uy5H27Mjhth5JyGfZMDQNV53zkjYbVd3c2AxKadV7x1KOGOE&#10;ZXV9VapC+5Nb43GTDCMRFwsloU1pKDiPTYtWxYkf0BH37YNVidpguA7qROK25yLL7rlVnaMPrRrw&#10;qcXmZ3OwEr62fPryWPOPsFq/nd9fzad5wFrK25vxeUGlXgBLOKa/C7hkIP9QkbG9PzgdWS9BTGmR&#10;YEZI9EyIHNj+Ms8F8Krk/1NUvwAAAP//AwBQSwECLQAUAAYACAAAACEAtoM4kv4AAADhAQAAEwAA&#10;AAAAAAAAAAAAAAAAAAAAW0NvbnRlbnRfVHlwZXNdLnhtbFBLAQItABQABgAIAAAAIQA4/SH/1gAA&#10;AJQBAAALAAAAAAAAAAAAAAAAAC8BAABfcmVscy8ucmVsc1BLAQItABQABgAIAAAAIQA0Fg5k7gIA&#10;AGMGAAAOAAAAAAAAAAAAAAAAAC4CAABkcnMvZTJvRG9jLnhtbFBLAQItABQABgAIAAAAIQBkwB9V&#10;4QAAAA0BAAAPAAAAAAAAAAAAAAAAAEgFAABkcnMvZG93bnJldi54bWxQSwUGAAAAAAQABADzAAAA&#10;VgYAAAAA&#10;" fillcolor="#99b2b4" stroked="f" strokeweight="1pt">
                <v:fill color2="#e1e7e8" rotate="t" angle="225" colors="0 #99b2b4;.5 #c2cfd0;1 #e1e7e8" focus="100%" type="gradient"/>
              </v:rect>
            </w:pict>
          </mc:Fallback>
        </mc:AlternateContent>
      </w:r>
    </w:p>
    <w:p w14:paraId="31F8F3F0" w14:textId="77777777" w:rsidR="00AB34DA" w:rsidRPr="008C3514" w:rsidRDefault="0082443F" w:rsidP="00AB34DA">
      <w:pPr>
        <w:ind w:left="340"/>
        <w:jc w:val="both"/>
        <w:rPr>
          <w:rFonts w:ascii="Calibri Light" w:hAnsi="Calibri Light" w:cs="Helvetica"/>
          <w:b/>
        </w:rPr>
      </w:pPr>
      <w:r w:rsidRPr="008C3514">
        <w:rPr>
          <w:rFonts w:ascii="Calibri Light" w:hAnsi="Calibri Light" w:cs="Helvetica"/>
          <w:b/>
        </w:rPr>
        <w:t>Para más información:</w:t>
      </w:r>
    </w:p>
    <w:p w14:paraId="36B30C7D" w14:textId="77777777" w:rsidR="002837A8" w:rsidRPr="008C3514" w:rsidRDefault="002837A8" w:rsidP="00A02B74">
      <w:pPr>
        <w:spacing w:after="0"/>
        <w:ind w:left="340"/>
        <w:jc w:val="both"/>
        <w:rPr>
          <w:rFonts w:ascii="Calibri Light" w:hAnsi="Calibri Light" w:cs="Helvetica"/>
          <w:b/>
        </w:rPr>
      </w:pPr>
      <w:r w:rsidRPr="008C3514">
        <w:rPr>
          <w:rFonts w:ascii="Calibri Light" w:hAnsi="Calibri Light" w:cs="Helvetica"/>
          <w:b/>
        </w:rPr>
        <w:t xml:space="preserve">Yolanda </w:t>
      </w:r>
      <w:proofErr w:type="spellStart"/>
      <w:r w:rsidRPr="008C3514">
        <w:rPr>
          <w:rFonts w:ascii="Calibri Light" w:hAnsi="Calibri Light" w:cs="Helvetica"/>
          <w:b/>
        </w:rPr>
        <w:t>Jover</w:t>
      </w:r>
      <w:proofErr w:type="spellEnd"/>
    </w:p>
    <w:p w14:paraId="0DF2EA22" w14:textId="77777777" w:rsidR="0082443F" w:rsidRPr="008C3514" w:rsidRDefault="0082443F" w:rsidP="00A02B74">
      <w:pPr>
        <w:spacing w:after="120"/>
        <w:ind w:left="340"/>
        <w:rPr>
          <w:rFonts w:ascii="Calibri Light" w:hAnsi="Calibri Light" w:cs="Helvetica"/>
        </w:rPr>
      </w:pPr>
      <w:r w:rsidRPr="008C3514">
        <w:rPr>
          <w:rFonts w:ascii="Calibri Light" w:hAnsi="Calibri Light" w:cs="Helvetica"/>
        </w:rPr>
        <w:t xml:space="preserve">Departamento de Comunicación </w:t>
      </w:r>
      <w:r w:rsidR="009333B2" w:rsidRPr="008C3514">
        <w:rPr>
          <w:rFonts w:ascii="Calibri Light" w:hAnsi="Calibri Light" w:cs="Helvetica"/>
        </w:rPr>
        <w:br/>
      </w:r>
      <w:r w:rsidRPr="008C3514">
        <w:rPr>
          <w:rFonts w:ascii="Calibri Light" w:hAnsi="Calibri Light" w:cs="Helvetica"/>
        </w:rPr>
        <w:t>prensa@ivie.es</w:t>
      </w:r>
    </w:p>
    <w:p w14:paraId="3B0CE235" w14:textId="77777777" w:rsidR="00DF584F" w:rsidRPr="008C3514" w:rsidRDefault="0082443F" w:rsidP="000C42C8">
      <w:pPr>
        <w:ind w:left="340"/>
        <w:jc w:val="both"/>
        <w:rPr>
          <w:rFonts w:ascii="Calibri Light" w:hAnsi="Calibri Light" w:cs="Helvetica"/>
        </w:rPr>
      </w:pPr>
      <w:r w:rsidRPr="008C3514">
        <w:rPr>
          <w:rFonts w:ascii="Calibri Light" w:hAnsi="Calibri Light" w:cs="Helvetica"/>
        </w:rPr>
        <w:t>Telf. 963190050</w:t>
      </w:r>
    </w:p>
    <w:sectPr w:rsidR="00DF584F" w:rsidRPr="008C3514" w:rsidSect="000C31F6">
      <w:headerReference w:type="default" r:id="rId15"/>
      <w:footerReference w:type="default" r:id="rId16"/>
      <w:headerReference w:type="first" r:id="rId17"/>
      <w:footerReference w:type="first" r:id="rId18"/>
      <w:pgSz w:w="11906" w:h="16838"/>
      <w:pgMar w:top="1701" w:right="1531" w:bottom="1418" w:left="153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005904" w15:done="0"/>
  <w15:commentEx w15:paraId="0463B2B7" w15:done="0"/>
  <w15:commentEx w15:paraId="7FCBDC29" w15:done="0"/>
  <w15:commentEx w15:paraId="4ACA0E40" w15:done="0"/>
  <w15:commentEx w15:paraId="449182BE" w15:done="0"/>
  <w15:commentEx w15:paraId="5E089B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005904" w16cid:durableId="20509B61"/>
  <w16cid:commentId w16cid:paraId="0463B2B7" w16cid:durableId="20509BF0"/>
  <w16cid:commentId w16cid:paraId="7FCBDC29" w16cid:durableId="20509B4B"/>
  <w16cid:commentId w16cid:paraId="4ACA0E40" w16cid:durableId="20509C55"/>
  <w16cid:commentId w16cid:paraId="449182BE" w16cid:durableId="20509B4C"/>
  <w16cid:commentId w16cid:paraId="5E089B46" w16cid:durableId="20509B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35016" w14:textId="77777777" w:rsidR="00D94F5A" w:rsidRDefault="00D94F5A" w:rsidP="00ED5518">
      <w:pPr>
        <w:spacing w:after="0" w:line="240" w:lineRule="auto"/>
      </w:pPr>
      <w:r>
        <w:separator/>
      </w:r>
    </w:p>
  </w:endnote>
  <w:endnote w:type="continuationSeparator" w:id="0">
    <w:p w14:paraId="456E0637" w14:textId="77777777" w:rsidR="00D94F5A" w:rsidRDefault="00D94F5A" w:rsidP="00ED5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14320" w14:textId="77777777" w:rsidR="00CD1277" w:rsidRDefault="00CD1277">
    <w:pPr>
      <w:pStyle w:val="Piedepgina"/>
    </w:pPr>
    <w:r>
      <w:t xml:space="preserve">Nota de prensa | </w:t>
    </w:r>
    <w:r>
      <w:fldChar w:fldCharType="begin"/>
    </w:r>
    <w:r w:rsidR="00AD7AE9">
      <w:instrText>PAGE</w:instrText>
    </w:r>
    <w:r>
      <w:instrText xml:space="preserve">   \* MERGEFORMAT</w:instrText>
    </w:r>
    <w:r>
      <w:fldChar w:fldCharType="separate"/>
    </w:r>
    <w:r w:rsidR="00BF100C">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3206A" w14:textId="77777777" w:rsidR="00CD1277" w:rsidRDefault="00CD1277" w:rsidP="00556018">
    <w:pPr>
      <w:pStyle w:val="Piedepgina"/>
    </w:pPr>
    <w:r>
      <w:t xml:space="preserve">Nota de prensa | </w:t>
    </w:r>
    <w:r>
      <w:fldChar w:fldCharType="begin"/>
    </w:r>
    <w:r w:rsidR="00AD7AE9">
      <w:instrText>PAGE</w:instrText>
    </w:r>
    <w:r>
      <w:instrText xml:space="preserve">   \* MERGEFORMAT</w:instrText>
    </w:r>
    <w:r>
      <w:fldChar w:fldCharType="separate"/>
    </w:r>
    <w:r w:rsidR="00BF100C">
      <w:rPr>
        <w:noProof/>
      </w:rPr>
      <w:t>1</w:t>
    </w:r>
    <w:r>
      <w:fldChar w:fldCharType="end"/>
    </w:r>
  </w:p>
  <w:p w14:paraId="486F5E12" w14:textId="77777777" w:rsidR="00CD1277" w:rsidRDefault="00CD12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81ED6" w14:textId="77777777" w:rsidR="00D94F5A" w:rsidRDefault="00D94F5A" w:rsidP="00ED5518">
      <w:pPr>
        <w:spacing w:after="0" w:line="240" w:lineRule="auto"/>
      </w:pPr>
      <w:r>
        <w:separator/>
      </w:r>
    </w:p>
  </w:footnote>
  <w:footnote w:type="continuationSeparator" w:id="0">
    <w:p w14:paraId="0E545B65" w14:textId="77777777" w:rsidR="00D94F5A" w:rsidRDefault="00D94F5A" w:rsidP="00ED55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F19CF" w14:textId="77777777" w:rsidR="003E059A" w:rsidRDefault="003E059A">
    <w:pPr>
      <w:pStyle w:val="Encabezado"/>
    </w:pPr>
  </w:p>
  <w:p w14:paraId="06EE224C" w14:textId="77777777" w:rsidR="003E059A" w:rsidRDefault="003E059A">
    <w:pPr>
      <w:pStyle w:val="Encabezado"/>
    </w:pPr>
  </w:p>
  <w:p w14:paraId="78A665C5" w14:textId="77777777" w:rsidR="003E059A" w:rsidRDefault="003E059A">
    <w:pPr>
      <w:pStyle w:val="Encabezado"/>
    </w:pPr>
  </w:p>
  <w:p w14:paraId="229B1E32" w14:textId="77777777" w:rsidR="003E059A" w:rsidRDefault="003E059A">
    <w:pPr>
      <w:pStyle w:val="Encabezado"/>
    </w:pPr>
  </w:p>
  <w:p w14:paraId="33E21FBC" w14:textId="77777777" w:rsidR="003E059A" w:rsidRDefault="003E059A">
    <w:pPr>
      <w:pStyle w:val="Encabezado"/>
    </w:pPr>
  </w:p>
  <w:p w14:paraId="04E83249" w14:textId="77777777" w:rsidR="003E059A" w:rsidRDefault="003E05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95F80" w14:textId="77777777" w:rsidR="00CD1277" w:rsidRDefault="009C32E5">
    <w:pPr>
      <w:pStyle w:val="Encabezado"/>
    </w:pPr>
    <w:r>
      <w:rPr>
        <w:noProof/>
        <w:lang w:eastAsia="es-ES"/>
      </w:rPr>
      <w:drawing>
        <wp:anchor distT="0" distB="0" distL="114300" distR="114300" simplePos="0" relativeHeight="251657728" behindDoc="1" locked="0" layoutInCell="1" allowOverlap="1" wp14:anchorId="55B5C600" wp14:editId="3979DBEC">
          <wp:simplePos x="0" y="0"/>
          <wp:positionH relativeFrom="column">
            <wp:posOffset>4575175</wp:posOffset>
          </wp:positionH>
          <wp:positionV relativeFrom="paragraph">
            <wp:posOffset>-5715</wp:posOffset>
          </wp:positionV>
          <wp:extent cx="978535" cy="51625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535" cy="516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inline distT="0" distB="0" distL="0" distR="0" wp14:anchorId="12F6B21F" wp14:editId="1D1C0A62">
          <wp:extent cx="1447800" cy="38100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inline>
      </w:drawing>
    </w:r>
  </w:p>
  <w:p w14:paraId="4B3DD07C" w14:textId="77777777" w:rsidR="003E059A" w:rsidRDefault="003E059A">
    <w:pPr>
      <w:pStyle w:val="Encabezado"/>
    </w:pPr>
  </w:p>
  <w:p w14:paraId="1D740076" w14:textId="77777777" w:rsidR="003E059A" w:rsidRDefault="003E059A">
    <w:pPr>
      <w:pStyle w:val="Encabezado"/>
    </w:pPr>
  </w:p>
  <w:p w14:paraId="0642796D" w14:textId="77777777" w:rsidR="003E059A" w:rsidRDefault="003E059A">
    <w:pPr>
      <w:pStyle w:val="Encabezado"/>
    </w:pPr>
  </w:p>
  <w:p w14:paraId="3F38F3CF" w14:textId="77777777" w:rsidR="003E059A" w:rsidRDefault="003E05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D6C9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C16775"/>
    <w:multiLevelType w:val="hybridMultilevel"/>
    <w:tmpl w:val="75FE0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26047C3"/>
    <w:multiLevelType w:val="hybridMultilevel"/>
    <w:tmpl w:val="B32084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72666AC"/>
    <w:multiLevelType w:val="hybridMultilevel"/>
    <w:tmpl w:val="415E4170"/>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BD440C5"/>
    <w:multiLevelType w:val="hybridMultilevel"/>
    <w:tmpl w:val="749E4D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6B417B9"/>
    <w:multiLevelType w:val="hybridMultilevel"/>
    <w:tmpl w:val="888600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F246213"/>
    <w:multiLevelType w:val="hybridMultilevel"/>
    <w:tmpl w:val="9DC2B1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0"/>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quin Aldas-Manzano">
    <w15:presenceInfo w15:providerId="Windows Live" w15:userId="f1c272f242c4be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B0"/>
    <w:rsid w:val="000119EF"/>
    <w:rsid w:val="00017EE4"/>
    <w:rsid w:val="00020EFB"/>
    <w:rsid w:val="000252F1"/>
    <w:rsid w:val="00025FF7"/>
    <w:rsid w:val="000474CA"/>
    <w:rsid w:val="000520D2"/>
    <w:rsid w:val="00056161"/>
    <w:rsid w:val="0006660F"/>
    <w:rsid w:val="00067942"/>
    <w:rsid w:val="0007225C"/>
    <w:rsid w:val="00073083"/>
    <w:rsid w:val="00076636"/>
    <w:rsid w:val="00087B87"/>
    <w:rsid w:val="00092EE0"/>
    <w:rsid w:val="00094527"/>
    <w:rsid w:val="000968DA"/>
    <w:rsid w:val="000C2555"/>
    <w:rsid w:val="000C31F6"/>
    <w:rsid w:val="000C42C8"/>
    <w:rsid w:val="000C5D30"/>
    <w:rsid w:val="000D1019"/>
    <w:rsid w:val="000D5C26"/>
    <w:rsid w:val="000D75B6"/>
    <w:rsid w:val="000E2007"/>
    <w:rsid w:val="000E2354"/>
    <w:rsid w:val="000E5E4F"/>
    <w:rsid w:val="000F460D"/>
    <w:rsid w:val="0010389E"/>
    <w:rsid w:val="00120184"/>
    <w:rsid w:val="001279A4"/>
    <w:rsid w:val="001300E1"/>
    <w:rsid w:val="00136B86"/>
    <w:rsid w:val="00146DDF"/>
    <w:rsid w:val="00154B16"/>
    <w:rsid w:val="00162EE7"/>
    <w:rsid w:val="001654A0"/>
    <w:rsid w:val="00165E88"/>
    <w:rsid w:val="00171BAC"/>
    <w:rsid w:val="001800C0"/>
    <w:rsid w:val="00184860"/>
    <w:rsid w:val="00187DB3"/>
    <w:rsid w:val="00193F4B"/>
    <w:rsid w:val="00196729"/>
    <w:rsid w:val="001C3AA4"/>
    <w:rsid w:val="001C6DEC"/>
    <w:rsid w:val="001D1531"/>
    <w:rsid w:val="001E31A3"/>
    <w:rsid w:val="001E3202"/>
    <w:rsid w:val="001E3762"/>
    <w:rsid w:val="001E64AF"/>
    <w:rsid w:val="001E79E8"/>
    <w:rsid w:val="001F68AF"/>
    <w:rsid w:val="002005B1"/>
    <w:rsid w:val="00202137"/>
    <w:rsid w:val="00207A84"/>
    <w:rsid w:val="00216189"/>
    <w:rsid w:val="002208F7"/>
    <w:rsid w:val="0022467A"/>
    <w:rsid w:val="002268CC"/>
    <w:rsid w:val="00237562"/>
    <w:rsid w:val="0024058D"/>
    <w:rsid w:val="00242630"/>
    <w:rsid w:val="002510F1"/>
    <w:rsid w:val="00251818"/>
    <w:rsid w:val="00254919"/>
    <w:rsid w:val="0026229A"/>
    <w:rsid w:val="002643AE"/>
    <w:rsid w:val="00264F22"/>
    <w:rsid w:val="00265043"/>
    <w:rsid w:val="00267E2C"/>
    <w:rsid w:val="00273FA5"/>
    <w:rsid w:val="00274F6B"/>
    <w:rsid w:val="0028019F"/>
    <w:rsid w:val="00281803"/>
    <w:rsid w:val="002837A8"/>
    <w:rsid w:val="00287A30"/>
    <w:rsid w:val="00293FE6"/>
    <w:rsid w:val="002946FC"/>
    <w:rsid w:val="002A0D0D"/>
    <w:rsid w:val="002A2444"/>
    <w:rsid w:val="002B0DDE"/>
    <w:rsid w:val="002B4C2F"/>
    <w:rsid w:val="002C3084"/>
    <w:rsid w:val="002C490A"/>
    <w:rsid w:val="002D239C"/>
    <w:rsid w:val="002D5E1D"/>
    <w:rsid w:val="002D62CB"/>
    <w:rsid w:val="002E02F9"/>
    <w:rsid w:val="002E5D77"/>
    <w:rsid w:val="002F252C"/>
    <w:rsid w:val="002F2FE0"/>
    <w:rsid w:val="003052E6"/>
    <w:rsid w:val="00310596"/>
    <w:rsid w:val="003115A8"/>
    <w:rsid w:val="003129C4"/>
    <w:rsid w:val="003130FA"/>
    <w:rsid w:val="0032099F"/>
    <w:rsid w:val="00321C4A"/>
    <w:rsid w:val="0032241D"/>
    <w:rsid w:val="00323611"/>
    <w:rsid w:val="00330F98"/>
    <w:rsid w:val="00343E8B"/>
    <w:rsid w:val="00343FB4"/>
    <w:rsid w:val="003503B1"/>
    <w:rsid w:val="00350BEB"/>
    <w:rsid w:val="00351241"/>
    <w:rsid w:val="00361C34"/>
    <w:rsid w:val="003678E4"/>
    <w:rsid w:val="00376333"/>
    <w:rsid w:val="0038239E"/>
    <w:rsid w:val="003856C5"/>
    <w:rsid w:val="00392668"/>
    <w:rsid w:val="0039773A"/>
    <w:rsid w:val="003A7758"/>
    <w:rsid w:val="003B45EE"/>
    <w:rsid w:val="003B4D86"/>
    <w:rsid w:val="003C2FB4"/>
    <w:rsid w:val="003E059A"/>
    <w:rsid w:val="003E72B2"/>
    <w:rsid w:val="003F2FE8"/>
    <w:rsid w:val="003F3B29"/>
    <w:rsid w:val="003F7166"/>
    <w:rsid w:val="00404C46"/>
    <w:rsid w:val="004051EB"/>
    <w:rsid w:val="0041383E"/>
    <w:rsid w:val="0042006D"/>
    <w:rsid w:val="0043192D"/>
    <w:rsid w:val="00436693"/>
    <w:rsid w:val="0044480C"/>
    <w:rsid w:val="00444AA0"/>
    <w:rsid w:val="00453AA3"/>
    <w:rsid w:val="004607DE"/>
    <w:rsid w:val="00477217"/>
    <w:rsid w:val="004838CD"/>
    <w:rsid w:val="00486F3C"/>
    <w:rsid w:val="00487C65"/>
    <w:rsid w:val="004A02FA"/>
    <w:rsid w:val="004A16D4"/>
    <w:rsid w:val="004A177D"/>
    <w:rsid w:val="004A4795"/>
    <w:rsid w:val="004B1FDA"/>
    <w:rsid w:val="004B3381"/>
    <w:rsid w:val="004B68EB"/>
    <w:rsid w:val="004C0816"/>
    <w:rsid w:val="004C5828"/>
    <w:rsid w:val="004D5370"/>
    <w:rsid w:val="004E5C92"/>
    <w:rsid w:val="004E6DAD"/>
    <w:rsid w:val="004F493C"/>
    <w:rsid w:val="005015B1"/>
    <w:rsid w:val="00510312"/>
    <w:rsid w:val="00512AB1"/>
    <w:rsid w:val="00527015"/>
    <w:rsid w:val="005320E4"/>
    <w:rsid w:val="00533ED2"/>
    <w:rsid w:val="00536789"/>
    <w:rsid w:val="00540C1C"/>
    <w:rsid w:val="00552B8E"/>
    <w:rsid w:val="00556018"/>
    <w:rsid w:val="0055678C"/>
    <w:rsid w:val="00557B07"/>
    <w:rsid w:val="00557D57"/>
    <w:rsid w:val="005620C3"/>
    <w:rsid w:val="0057726A"/>
    <w:rsid w:val="00580143"/>
    <w:rsid w:val="00584358"/>
    <w:rsid w:val="00586C23"/>
    <w:rsid w:val="0058765F"/>
    <w:rsid w:val="005A257E"/>
    <w:rsid w:val="005B4431"/>
    <w:rsid w:val="005C5A80"/>
    <w:rsid w:val="005D022E"/>
    <w:rsid w:val="005D0DE5"/>
    <w:rsid w:val="005D6A6D"/>
    <w:rsid w:val="005D7D3C"/>
    <w:rsid w:val="005E3E68"/>
    <w:rsid w:val="005F07DB"/>
    <w:rsid w:val="005F551E"/>
    <w:rsid w:val="006004F9"/>
    <w:rsid w:val="00603438"/>
    <w:rsid w:val="006107D1"/>
    <w:rsid w:val="00612800"/>
    <w:rsid w:val="00614265"/>
    <w:rsid w:val="006221E4"/>
    <w:rsid w:val="00622457"/>
    <w:rsid w:val="006230FE"/>
    <w:rsid w:val="00623945"/>
    <w:rsid w:val="006266BA"/>
    <w:rsid w:val="006344D1"/>
    <w:rsid w:val="0063471B"/>
    <w:rsid w:val="00634A69"/>
    <w:rsid w:val="00635DC2"/>
    <w:rsid w:val="00640893"/>
    <w:rsid w:val="00642BD3"/>
    <w:rsid w:val="0066293E"/>
    <w:rsid w:val="006741FC"/>
    <w:rsid w:val="0069243F"/>
    <w:rsid w:val="00694584"/>
    <w:rsid w:val="00695163"/>
    <w:rsid w:val="006A4D46"/>
    <w:rsid w:val="006C3D2B"/>
    <w:rsid w:val="006D5047"/>
    <w:rsid w:val="006D7DE8"/>
    <w:rsid w:val="006F4F56"/>
    <w:rsid w:val="006F5222"/>
    <w:rsid w:val="00704A96"/>
    <w:rsid w:val="00710B09"/>
    <w:rsid w:val="00713F8F"/>
    <w:rsid w:val="007152B8"/>
    <w:rsid w:val="00722F20"/>
    <w:rsid w:val="0072450E"/>
    <w:rsid w:val="00734777"/>
    <w:rsid w:val="00752DFD"/>
    <w:rsid w:val="0075339B"/>
    <w:rsid w:val="00754FD8"/>
    <w:rsid w:val="00762265"/>
    <w:rsid w:val="007642E4"/>
    <w:rsid w:val="00767970"/>
    <w:rsid w:val="00770D4B"/>
    <w:rsid w:val="00776743"/>
    <w:rsid w:val="00776C59"/>
    <w:rsid w:val="007846F7"/>
    <w:rsid w:val="00792128"/>
    <w:rsid w:val="00792C94"/>
    <w:rsid w:val="007936EA"/>
    <w:rsid w:val="00793AB7"/>
    <w:rsid w:val="00793DCB"/>
    <w:rsid w:val="007A0148"/>
    <w:rsid w:val="007A6933"/>
    <w:rsid w:val="007C0193"/>
    <w:rsid w:val="007C20E4"/>
    <w:rsid w:val="007C501A"/>
    <w:rsid w:val="007D042B"/>
    <w:rsid w:val="007D0454"/>
    <w:rsid w:val="007D4C4E"/>
    <w:rsid w:val="007E00A1"/>
    <w:rsid w:val="007E1A92"/>
    <w:rsid w:val="007E3216"/>
    <w:rsid w:val="007F101D"/>
    <w:rsid w:val="007F3192"/>
    <w:rsid w:val="0081090A"/>
    <w:rsid w:val="0081098D"/>
    <w:rsid w:val="00816C74"/>
    <w:rsid w:val="00823BC3"/>
    <w:rsid w:val="0082443F"/>
    <w:rsid w:val="0082686C"/>
    <w:rsid w:val="0083565D"/>
    <w:rsid w:val="008414B0"/>
    <w:rsid w:val="008438BA"/>
    <w:rsid w:val="00852AFC"/>
    <w:rsid w:val="00852B07"/>
    <w:rsid w:val="00854982"/>
    <w:rsid w:val="008564C0"/>
    <w:rsid w:val="008623D2"/>
    <w:rsid w:val="008641CA"/>
    <w:rsid w:val="00872E9A"/>
    <w:rsid w:val="0087488A"/>
    <w:rsid w:val="00875B8B"/>
    <w:rsid w:val="00882392"/>
    <w:rsid w:val="008872F5"/>
    <w:rsid w:val="00890928"/>
    <w:rsid w:val="00892213"/>
    <w:rsid w:val="00893249"/>
    <w:rsid w:val="008974BB"/>
    <w:rsid w:val="008B0E1F"/>
    <w:rsid w:val="008B10F8"/>
    <w:rsid w:val="008B248F"/>
    <w:rsid w:val="008B7217"/>
    <w:rsid w:val="008C3514"/>
    <w:rsid w:val="008C77C6"/>
    <w:rsid w:val="008D1BDE"/>
    <w:rsid w:val="008E1297"/>
    <w:rsid w:val="008F4238"/>
    <w:rsid w:val="008F56B2"/>
    <w:rsid w:val="00901710"/>
    <w:rsid w:val="0090477F"/>
    <w:rsid w:val="00907462"/>
    <w:rsid w:val="0091744C"/>
    <w:rsid w:val="009306F6"/>
    <w:rsid w:val="009333B2"/>
    <w:rsid w:val="00933BF9"/>
    <w:rsid w:val="00940CE2"/>
    <w:rsid w:val="00942290"/>
    <w:rsid w:val="0095450F"/>
    <w:rsid w:val="009548F1"/>
    <w:rsid w:val="0096551A"/>
    <w:rsid w:val="0097624C"/>
    <w:rsid w:val="00982FEA"/>
    <w:rsid w:val="009838F2"/>
    <w:rsid w:val="009848CA"/>
    <w:rsid w:val="00985AF5"/>
    <w:rsid w:val="00990CBC"/>
    <w:rsid w:val="009A3B0D"/>
    <w:rsid w:val="009A7B47"/>
    <w:rsid w:val="009B2B99"/>
    <w:rsid w:val="009C052C"/>
    <w:rsid w:val="009C1B68"/>
    <w:rsid w:val="009C32E5"/>
    <w:rsid w:val="009C5950"/>
    <w:rsid w:val="009C6B59"/>
    <w:rsid w:val="009C7C6D"/>
    <w:rsid w:val="009D4FCC"/>
    <w:rsid w:val="009E4AAB"/>
    <w:rsid w:val="009E70B9"/>
    <w:rsid w:val="009F257E"/>
    <w:rsid w:val="009F33BE"/>
    <w:rsid w:val="00A003A4"/>
    <w:rsid w:val="00A02B74"/>
    <w:rsid w:val="00A04A36"/>
    <w:rsid w:val="00A10E96"/>
    <w:rsid w:val="00A134FA"/>
    <w:rsid w:val="00A1404E"/>
    <w:rsid w:val="00A236FA"/>
    <w:rsid w:val="00A245CA"/>
    <w:rsid w:val="00A27F9D"/>
    <w:rsid w:val="00A30302"/>
    <w:rsid w:val="00A353FB"/>
    <w:rsid w:val="00A519C7"/>
    <w:rsid w:val="00A52D92"/>
    <w:rsid w:val="00A55313"/>
    <w:rsid w:val="00A72FCE"/>
    <w:rsid w:val="00A76095"/>
    <w:rsid w:val="00A80A12"/>
    <w:rsid w:val="00A82762"/>
    <w:rsid w:val="00A86A7F"/>
    <w:rsid w:val="00A920C8"/>
    <w:rsid w:val="00AA0D07"/>
    <w:rsid w:val="00AA7E5E"/>
    <w:rsid w:val="00AB0343"/>
    <w:rsid w:val="00AB3378"/>
    <w:rsid w:val="00AB34DA"/>
    <w:rsid w:val="00AB59D1"/>
    <w:rsid w:val="00AC3BB8"/>
    <w:rsid w:val="00AC4312"/>
    <w:rsid w:val="00AD00E4"/>
    <w:rsid w:val="00AD06D3"/>
    <w:rsid w:val="00AD37C5"/>
    <w:rsid w:val="00AD4404"/>
    <w:rsid w:val="00AD7AE9"/>
    <w:rsid w:val="00AE0FE5"/>
    <w:rsid w:val="00AE2A9E"/>
    <w:rsid w:val="00AF3287"/>
    <w:rsid w:val="00B243C4"/>
    <w:rsid w:val="00B24D5B"/>
    <w:rsid w:val="00B26D8E"/>
    <w:rsid w:val="00B341BC"/>
    <w:rsid w:val="00B4648A"/>
    <w:rsid w:val="00B501E1"/>
    <w:rsid w:val="00B524DC"/>
    <w:rsid w:val="00B544EE"/>
    <w:rsid w:val="00B6072E"/>
    <w:rsid w:val="00B616BE"/>
    <w:rsid w:val="00B654EC"/>
    <w:rsid w:val="00B708A2"/>
    <w:rsid w:val="00B709AF"/>
    <w:rsid w:val="00B8612E"/>
    <w:rsid w:val="00B91E25"/>
    <w:rsid w:val="00B9296A"/>
    <w:rsid w:val="00BA26BC"/>
    <w:rsid w:val="00BA2DA8"/>
    <w:rsid w:val="00BB58E0"/>
    <w:rsid w:val="00BC4540"/>
    <w:rsid w:val="00BC7C5F"/>
    <w:rsid w:val="00BE16E4"/>
    <w:rsid w:val="00BE2B01"/>
    <w:rsid w:val="00BE2D24"/>
    <w:rsid w:val="00BE5BAB"/>
    <w:rsid w:val="00BF100C"/>
    <w:rsid w:val="00BF1491"/>
    <w:rsid w:val="00BF4894"/>
    <w:rsid w:val="00C07303"/>
    <w:rsid w:val="00C07FF4"/>
    <w:rsid w:val="00C212EB"/>
    <w:rsid w:val="00C236F2"/>
    <w:rsid w:val="00C26F7A"/>
    <w:rsid w:val="00C35372"/>
    <w:rsid w:val="00C47D18"/>
    <w:rsid w:val="00C55225"/>
    <w:rsid w:val="00C5621E"/>
    <w:rsid w:val="00C61659"/>
    <w:rsid w:val="00C67535"/>
    <w:rsid w:val="00C67B24"/>
    <w:rsid w:val="00C67C39"/>
    <w:rsid w:val="00C96A48"/>
    <w:rsid w:val="00CA0797"/>
    <w:rsid w:val="00CA27C6"/>
    <w:rsid w:val="00CA71B8"/>
    <w:rsid w:val="00CC12EA"/>
    <w:rsid w:val="00CC1DCA"/>
    <w:rsid w:val="00CC5F2B"/>
    <w:rsid w:val="00CD1277"/>
    <w:rsid w:val="00CD521E"/>
    <w:rsid w:val="00CD60F1"/>
    <w:rsid w:val="00CE7D7F"/>
    <w:rsid w:val="00CE7FF3"/>
    <w:rsid w:val="00D03A62"/>
    <w:rsid w:val="00D06C08"/>
    <w:rsid w:val="00D070E7"/>
    <w:rsid w:val="00D078C3"/>
    <w:rsid w:val="00D24421"/>
    <w:rsid w:val="00D26F41"/>
    <w:rsid w:val="00D40EB5"/>
    <w:rsid w:val="00D42AFF"/>
    <w:rsid w:val="00D51AA5"/>
    <w:rsid w:val="00D62743"/>
    <w:rsid w:val="00D67A83"/>
    <w:rsid w:val="00D80A65"/>
    <w:rsid w:val="00D83940"/>
    <w:rsid w:val="00D92075"/>
    <w:rsid w:val="00D942A3"/>
    <w:rsid w:val="00D94F5A"/>
    <w:rsid w:val="00DA3510"/>
    <w:rsid w:val="00DA484A"/>
    <w:rsid w:val="00DD520B"/>
    <w:rsid w:val="00DE0F2E"/>
    <w:rsid w:val="00DF584F"/>
    <w:rsid w:val="00E04739"/>
    <w:rsid w:val="00E04821"/>
    <w:rsid w:val="00E13B38"/>
    <w:rsid w:val="00E3296A"/>
    <w:rsid w:val="00E3323E"/>
    <w:rsid w:val="00E368DD"/>
    <w:rsid w:val="00E3724A"/>
    <w:rsid w:val="00E53BF1"/>
    <w:rsid w:val="00E63983"/>
    <w:rsid w:val="00E66635"/>
    <w:rsid w:val="00E70F61"/>
    <w:rsid w:val="00E73DCD"/>
    <w:rsid w:val="00E83870"/>
    <w:rsid w:val="00E86435"/>
    <w:rsid w:val="00E86844"/>
    <w:rsid w:val="00E92E2E"/>
    <w:rsid w:val="00EA1998"/>
    <w:rsid w:val="00EA1CA9"/>
    <w:rsid w:val="00EA6516"/>
    <w:rsid w:val="00EA7017"/>
    <w:rsid w:val="00EB42B7"/>
    <w:rsid w:val="00EC1563"/>
    <w:rsid w:val="00ED5518"/>
    <w:rsid w:val="00ED77C0"/>
    <w:rsid w:val="00EE1087"/>
    <w:rsid w:val="00EE24DC"/>
    <w:rsid w:val="00EE3932"/>
    <w:rsid w:val="00EE49C3"/>
    <w:rsid w:val="00EF330A"/>
    <w:rsid w:val="00EF79AE"/>
    <w:rsid w:val="00F072F7"/>
    <w:rsid w:val="00F12774"/>
    <w:rsid w:val="00F1360E"/>
    <w:rsid w:val="00F21D0F"/>
    <w:rsid w:val="00F23E27"/>
    <w:rsid w:val="00F26173"/>
    <w:rsid w:val="00F26961"/>
    <w:rsid w:val="00F444F5"/>
    <w:rsid w:val="00F47323"/>
    <w:rsid w:val="00F51E9B"/>
    <w:rsid w:val="00F54A94"/>
    <w:rsid w:val="00F55F07"/>
    <w:rsid w:val="00F614BB"/>
    <w:rsid w:val="00F659C0"/>
    <w:rsid w:val="00F70B72"/>
    <w:rsid w:val="00F72FFD"/>
    <w:rsid w:val="00F80BAE"/>
    <w:rsid w:val="00F836DC"/>
    <w:rsid w:val="00F9061F"/>
    <w:rsid w:val="00F96EBF"/>
    <w:rsid w:val="00FA089C"/>
    <w:rsid w:val="00FA54D4"/>
    <w:rsid w:val="00FA6153"/>
    <w:rsid w:val="00FB2244"/>
    <w:rsid w:val="00FB4349"/>
    <w:rsid w:val="00FC0C40"/>
    <w:rsid w:val="00FD22D9"/>
    <w:rsid w:val="00FD76E2"/>
    <w:rsid w:val="00FD79E1"/>
    <w:rsid w:val="00FE4D92"/>
    <w:rsid w:val="00FF3654"/>
    <w:rsid w:val="00FF6D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3E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61"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link w:val="Ttulo1Car"/>
    <w:uiPriority w:val="9"/>
    <w:qFormat/>
    <w:rsid w:val="00EB42B7"/>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paragraph" w:styleId="Ttulo3">
    <w:name w:val="heading 3"/>
    <w:basedOn w:val="Normal"/>
    <w:next w:val="Normal"/>
    <w:link w:val="Ttulo3Car"/>
    <w:uiPriority w:val="9"/>
    <w:qFormat/>
    <w:rsid w:val="00DF584F"/>
    <w:pPr>
      <w:keepNext/>
      <w:keepLines/>
      <w:spacing w:before="40" w:after="0"/>
      <w:outlineLvl w:val="2"/>
    </w:pPr>
    <w:rPr>
      <w:rFonts w:ascii="Calibri Light" w:eastAsia="Times New Roman" w:hAnsi="Calibri Light"/>
      <w:color w:val="1F4D78"/>
      <w:sz w:val="24"/>
      <w:szCs w:val="24"/>
    </w:rPr>
  </w:style>
  <w:style w:type="paragraph" w:styleId="Ttulo4">
    <w:name w:val="heading 4"/>
    <w:basedOn w:val="Normal"/>
    <w:next w:val="Normal"/>
    <w:link w:val="Ttulo4Car"/>
    <w:uiPriority w:val="9"/>
    <w:qFormat/>
    <w:rsid w:val="00DF584F"/>
    <w:pPr>
      <w:keepNext/>
      <w:keepLines/>
      <w:spacing w:before="40" w:after="0"/>
      <w:outlineLvl w:val="3"/>
    </w:pPr>
    <w:rPr>
      <w:rFonts w:ascii="Calibri Light" w:eastAsia="Times New Roman" w:hAnsi="Calibri Light"/>
      <w:i/>
      <w:iCs/>
      <w:color w:val="2E74B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B42B7"/>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5F07D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3Car">
    <w:name w:val="Título 3 Car"/>
    <w:link w:val="Ttulo3"/>
    <w:uiPriority w:val="9"/>
    <w:semiHidden/>
    <w:rsid w:val="00DF584F"/>
    <w:rPr>
      <w:rFonts w:ascii="Calibri Light" w:eastAsia="Times New Roman" w:hAnsi="Calibri Light" w:cs="Times New Roman"/>
      <w:color w:val="1F4D78"/>
      <w:sz w:val="24"/>
      <w:szCs w:val="24"/>
    </w:rPr>
  </w:style>
  <w:style w:type="character" w:customStyle="1" w:styleId="Ttulo4Car">
    <w:name w:val="Título 4 Car"/>
    <w:link w:val="Ttulo4"/>
    <w:uiPriority w:val="9"/>
    <w:semiHidden/>
    <w:rsid w:val="00DF584F"/>
    <w:rPr>
      <w:rFonts w:ascii="Calibri Light" w:eastAsia="Times New Roman" w:hAnsi="Calibri Light" w:cs="Times New Roman"/>
      <w:i/>
      <w:iCs/>
      <w:color w:val="2E74B5"/>
    </w:rPr>
  </w:style>
  <w:style w:type="character" w:customStyle="1" w:styleId="apple-converted-space">
    <w:name w:val="apple-converted-space"/>
    <w:basedOn w:val="Fuentedeprrafopredeter"/>
    <w:rsid w:val="00DF584F"/>
  </w:style>
  <w:style w:type="paragraph" w:styleId="Textodeglobo">
    <w:name w:val="Balloon Text"/>
    <w:basedOn w:val="Normal"/>
    <w:link w:val="TextodegloboCar"/>
    <w:uiPriority w:val="99"/>
    <w:semiHidden/>
    <w:unhideWhenUsed/>
    <w:rsid w:val="006F522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F5222"/>
    <w:rPr>
      <w:rFonts w:ascii="Tahoma" w:hAnsi="Tahoma" w:cs="Tahoma"/>
      <w:sz w:val="16"/>
      <w:szCs w:val="16"/>
    </w:rPr>
  </w:style>
  <w:style w:type="paragraph" w:customStyle="1" w:styleId="Cuadrculamedia1-nfasis21">
    <w:name w:val="Cuadrícula media 1 - Énfasis 21"/>
    <w:basedOn w:val="Normal"/>
    <w:uiPriority w:val="34"/>
    <w:qFormat/>
    <w:rsid w:val="00776743"/>
    <w:pPr>
      <w:ind w:left="720"/>
      <w:contextualSpacing/>
    </w:pPr>
  </w:style>
  <w:style w:type="paragraph" w:styleId="Encabezado">
    <w:name w:val="header"/>
    <w:basedOn w:val="Normal"/>
    <w:link w:val="EncabezadoCar"/>
    <w:uiPriority w:val="99"/>
    <w:unhideWhenUsed/>
    <w:rsid w:val="00ED55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5518"/>
  </w:style>
  <w:style w:type="paragraph" w:styleId="Piedepgina">
    <w:name w:val="footer"/>
    <w:basedOn w:val="Normal"/>
    <w:link w:val="PiedepginaCar"/>
    <w:uiPriority w:val="99"/>
    <w:unhideWhenUsed/>
    <w:rsid w:val="00ED55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5518"/>
  </w:style>
  <w:style w:type="character" w:styleId="Refdecomentario">
    <w:name w:val="annotation reference"/>
    <w:uiPriority w:val="99"/>
    <w:semiHidden/>
    <w:unhideWhenUsed/>
    <w:rsid w:val="0032099F"/>
    <w:rPr>
      <w:sz w:val="16"/>
      <w:szCs w:val="16"/>
    </w:rPr>
  </w:style>
  <w:style w:type="paragraph" w:styleId="Textocomentario">
    <w:name w:val="annotation text"/>
    <w:basedOn w:val="Normal"/>
    <w:link w:val="TextocomentarioCar"/>
    <w:uiPriority w:val="99"/>
    <w:semiHidden/>
    <w:unhideWhenUsed/>
    <w:rsid w:val="0032099F"/>
    <w:pPr>
      <w:spacing w:line="240" w:lineRule="auto"/>
    </w:pPr>
    <w:rPr>
      <w:sz w:val="20"/>
      <w:szCs w:val="20"/>
    </w:rPr>
  </w:style>
  <w:style w:type="character" w:customStyle="1" w:styleId="TextocomentarioCar">
    <w:name w:val="Texto comentario Car"/>
    <w:link w:val="Textocomentario"/>
    <w:uiPriority w:val="99"/>
    <w:semiHidden/>
    <w:rsid w:val="0032099F"/>
    <w:rPr>
      <w:sz w:val="20"/>
      <w:szCs w:val="20"/>
    </w:rPr>
  </w:style>
  <w:style w:type="paragraph" w:styleId="Asuntodelcomentario">
    <w:name w:val="annotation subject"/>
    <w:basedOn w:val="Textocomentario"/>
    <w:next w:val="Textocomentario"/>
    <w:link w:val="AsuntodelcomentarioCar"/>
    <w:uiPriority w:val="99"/>
    <w:semiHidden/>
    <w:unhideWhenUsed/>
    <w:rsid w:val="0032099F"/>
    <w:rPr>
      <w:b/>
      <w:bCs/>
    </w:rPr>
  </w:style>
  <w:style w:type="character" w:customStyle="1" w:styleId="AsuntodelcomentarioCar">
    <w:name w:val="Asunto del comentario Car"/>
    <w:link w:val="Asuntodelcomentario"/>
    <w:uiPriority w:val="99"/>
    <w:semiHidden/>
    <w:rsid w:val="0032099F"/>
    <w:rPr>
      <w:b/>
      <w:bCs/>
      <w:sz w:val="20"/>
      <w:szCs w:val="20"/>
    </w:rPr>
  </w:style>
  <w:style w:type="table" w:customStyle="1" w:styleId="Listaclara-nfasis61">
    <w:name w:val="Lista clara - Énfasis 61"/>
    <w:basedOn w:val="Tablanormal"/>
    <w:next w:val="Bibliografa1"/>
    <w:uiPriority w:val="61"/>
    <w:rsid w:val="003F3B29"/>
    <w:rPr>
      <w:rFonts w:ascii="Arial" w:eastAsia="MS Mincho" w:hAnsi="Arial"/>
      <w:sz w:val="24"/>
      <w:szCs w:val="24"/>
      <w:lang w:val="en-US"/>
    </w:rPr>
    <w:tblPr>
      <w:tblStyleRowBandSize w:val="1"/>
      <w:tblStyleColBandSize w:val="1"/>
      <w:tblBorders>
        <w:top w:val="single" w:sz="8" w:space="0" w:color="006265"/>
        <w:left w:val="single" w:sz="8" w:space="0" w:color="006265"/>
        <w:bottom w:val="single" w:sz="8" w:space="0" w:color="006265"/>
        <w:right w:val="single" w:sz="8" w:space="0" w:color="006265"/>
      </w:tblBorders>
    </w:tblPr>
    <w:tblStylePr w:type="firstRow">
      <w:pPr>
        <w:spacing w:before="0" w:after="0" w:line="240" w:lineRule="auto"/>
      </w:pPr>
      <w:rPr>
        <w:b/>
        <w:bCs/>
        <w:color w:val="FFFFFF"/>
      </w:rPr>
      <w:tblPr/>
      <w:tcPr>
        <w:shd w:val="clear" w:color="auto" w:fill="006265"/>
      </w:tcPr>
    </w:tblStylePr>
    <w:tblStylePr w:type="lastRow">
      <w:pPr>
        <w:spacing w:before="0" w:after="0" w:line="240" w:lineRule="auto"/>
      </w:pPr>
      <w:rPr>
        <w:b/>
        <w:bCs/>
      </w:rPr>
      <w:tblPr/>
      <w:tcPr>
        <w:tcBorders>
          <w:top w:val="double" w:sz="6" w:space="0" w:color="006265"/>
          <w:left w:val="single" w:sz="8" w:space="0" w:color="006265"/>
          <w:bottom w:val="single" w:sz="8" w:space="0" w:color="006265"/>
          <w:right w:val="single" w:sz="8" w:space="0" w:color="006265"/>
        </w:tcBorders>
      </w:tcPr>
    </w:tblStylePr>
    <w:tblStylePr w:type="firstCol">
      <w:rPr>
        <w:b/>
        <w:bCs/>
      </w:rPr>
    </w:tblStylePr>
    <w:tblStylePr w:type="lastCol">
      <w:rPr>
        <w:b/>
        <w:bCs/>
      </w:rPr>
    </w:tblStylePr>
    <w:tblStylePr w:type="band1Vert">
      <w:tblPr/>
      <w:tcPr>
        <w:tcBorders>
          <w:top w:val="single" w:sz="8" w:space="0" w:color="006265"/>
          <w:left w:val="single" w:sz="8" w:space="0" w:color="006265"/>
          <w:bottom w:val="single" w:sz="8" w:space="0" w:color="006265"/>
          <w:right w:val="single" w:sz="8" w:space="0" w:color="006265"/>
        </w:tcBorders>
      </w:tcPr>
    </w:tblStylePr>
    <w:tblStylePr w:type="band1Horz">
      <w:tblPr/>
      <w:tcPr>
        <w:tcBorders>
          <w:top w:val="single" w:sz="8" w:space="0" w:color="006265"/>
          <w:left w:val="single" w:sz="8" w:space="0" w:color="006265"/>
          <w:bottom w:val="single" w:sz="8" w:space="0" w:color="006265"/>
          <w:right w:val="single" w:sz="8" w:space="0" w:color="006265"/>
        </w:tcBorders>
      </w:tcPr>
    </w:tblStylePr>
  </w:style>
  <w:style w:type="table" w:customStyle="1" w:styleId="Bibliografa1">
    <w:name w:val="Bibliografía1"/>
    <w:basedOn w:val="Tablanormal"/>
    <w:uiPriority w:val="61"/>
    <w:rsid w:val="003F3B2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Tablaconcuadrcula">
    <w:name w:val="Table Grid"/>
    <w:basedOn w:val="Tablanormal"/>
    <w:uiPriority w:val="39"/>
    <w:rsid w:val="003F3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2">
    <w:name w:val="Lista clara - Énfasis 62"/>
    <w:basedOn w:val="Tablanormal"/>
    <w:next w:val="Bibliografa1"/>
    <w:uiPriority w:val="61"/>
    <w:rsid w:val="00094527"/>
    <w:rPr>
      <w:rFonts w:ascii="Arial" w:eastAsia="MS Mincho" w:hAnsi="Arial"/>
      <w:sz w:val="24"/>
      <w:szCs w:val="24"/>
      <w:lang w:val="en-US"/>
    </w:rPr>
    <w:tblPr>
      <w:tblStyleRowBandSize w:val="1"/>
      <w:tblStyleColBandSize w:val="1"/>
      <w:tblBorders>
        <w:top w:val="single" w:sz="8" w:space="0" w:color="006265"/>
        <w:left w:val="single" w:sz="8" w:space="0" w:color="006265"/>
        <w:bottom w:val="single" w:sz="8" w:space="0" w:color="006265"/>
        <w:right w:val="single" w:sz="8" w:space="0" w:color="006265"/>
      </w:tblBorders>
    </w:tblPr>
    <w:tblStylePr w:type="firstRow">
      <w:pPr>
        <w:spacing w:before="0" w:after="0" w:line="240" w:lineRule="auto"/>
      </w:pPr>
      <w:rPr>
        <w:b/>
        <w:bCs/>
        <w:color w:val="FFFFFF"/>
      </w:rPr>
      <w:tblPr/>
      <w:tcPr>
        <w:shd w:val="clear" w:color="auto" w:fill="006265"/>
      </w:tcPr>
    </w:tblStylePr>
    <w:tblStylePr w:type="lastRow">
      <w:pPr>
        <w:spacing w:before="0" w:after="0" w:line="240" w:lineRule="auto"/>
      </w:pPr>
      <w:rPr>
        <w:b/>
        <w:bCs/>
      </w:rPr>
      <w:tblPr/>
      <w:tcPr>
        <w:tcBorders>
          <w:top w:val="double" w:sz="6" w:space="0" w:color="006265"/>
          <w:left w:val="single" w:sz="8" w:space="0" w:color="006265"/>
          <w:bottom w:val="single" w:sz="8" w:space="0" w:color="006265"/>
          <w:right w:val="single" w:sz="8" w:space="0" w:color="006265"/>
        </w:tcBorders>
      </w:tcPr>
    </w:tblStylePr>
    <w:tblStylePr w:type="firstCol">
      <w:rPr>
        <w:b/>
        <w:bCs/>
      </w:rPr>
    </w:tblStylePr>
    <w:tblStylePr w:type="lastCol">
      <w:rPr>
        <w:b/>
        <w:bCs/>
      </w:rPr>
    </w:tblStylePr>
    <w:tblStylePr w:type="band1Vert">
      <w:tblPr/>
      <w:tcPr>
        <w:tcBorders>
          <w:top w:val="single" w:sz="8" w:space="0" w:color="006265"/>
          <w:left w:val="single" w:sz="8" w:space="0" w:color="006265"/>
          <w:bottom w:val="single" w:sz="8" w:space="0" w:color="006265"/>
          <w:right w:val="single" w:sz="8" w:space="0" w:color="006265"/>
        </w:tcBorders>
      </w:tcPr>
    </w:tblStylePr>
    <w:tblStylePr w:type="band1Horz">
      <w:tblPr/>
      <w:tcPr>
        <w:tcBorders>
          <w:top w:val="single" w:sz="8" w:space="0" w:color="006265"/>
          <w:left w:val="single" w:sz="8" w:space="0" w:color="006265"/>
          <w:bottom w:val="single" w:sz="8" w:space="0" w:color="006265"/>
          <w:right w:val="single" w:sz="8" w:space="0" w:color="006265"/>
        </w:tcBorders>
      </w:tcPr>
    </w:tblStylePr>
  </w:style>
  <w:style w:type="paragraph" w:customStyle="1" w:styleId="Listamedia2-nfasis21">
    <w:name w:val="Lista media 2 - Énfasis 21"/>
    <w:hidden/>
    <w:uiPriority w:val="71"/>
    <w:rsid w:val="00CC5F2B"/>
    <w:rPr>
      <w:sz w:val="22"/>
      <w:szCs w:val="22"/>
      <w:lang w:eastAsia="en-US"/>
    </w:rPr>
  </w:style>
  <w:style w:type="paragraph" w:customStyle="1" w:styleId="Sombreadovistoso-nfasis11">
    <w:name w:val="Sombreado vistoso - Énfasis 11"/>
    <w:hidden/>
    <w:uiPriority w:val="99"/>
    <w:semiHidden/>
    <w:rsid w:val="004A16D4"/>
    <w:rPr>
      <w:sz w:val="22"/>
      <w:szCs w:val="22"/>
      <w:lang w:eastAsia="en-US"/>
    </w:rPr>
  </w:style>
  <w:style w:type="table" w:styleId="Listaoscura-nfasis6">
    <w:name w:val="Dark List Accent 6"/>
    <w:basedOn w:val="Tablanormal"/>
    <w:uiPriority w:val="61"/>
    <w:rsid w:val="007A0148"/>
    <w:rPr>
      <w:rFonts w:ascii="Arial" w:eastAsia="MS Mincho" w:hAnsi="Arial"/>
      <w:sz w:val="24"/>
      <w:szCs w:val="24"/>
      <w:lang w:val="en-US"/>
    </w:rPr>
    <w:tblPr>
      <w:tblStyleRowBandSize w:val="1"/>
      <w:tblStyleColBandSize w:val="1"/>
      <w:tblBorders>
        <w:top w:val="single" w:sz="8" w:space="0" w:color="006265"/>
        <w:left w:val="single" w:sz="8" w:space="0" w:color="006265"/>
        <w:bottom w:val="single" w:sz="8" w:space="0" w:color="006265"/>
        <w:right w:val="single" w:sz="8" w:space="0" w:color="006265"/>
      </w:tblBorders>
    </w:tblPr>
    <w:tblStylePr w:type="firstRow">
      <w:pPr>
        <w:spacing w:before="0" w:after="0" w:line="240" w:lineRule="auto"/>
      </w:pPr>
      <w:rPr>
        <w:b/>
        <w:bCs/>
        <w:color w:val="FFFFFF"/>
      </w:rPr>
      <w:tblPr/>
      <w:tcPr>
        <w:shd w:val="clear" w:color="auto" w:fill="006265"/>
      </w:tcPr>
    </w:tblStylePr>
    <w:tblStylePr w:type="lastRow">
      <w:pPr>
        <w:spacing w:before="0" w:after="0" w:line="240" w:lineRule="auto"/>
      </w:pPr>
      <w:rPr>
        <w:b/>
        <w:bCs/>
      </w:rPr>
      <w:tblPr/>
      <w:tcPr>
        <w:tcBorders>
          <w:top w:val="double" w:sz="6" w:space="0" w:color="006265"/>
          <w:left w:val="single" w:sz="8" w:space="0" w:color="006265"/>
          <w:bottom w:val="single" w:sz="8" w:space="0" w:color="006265"/>
          <w:right w:val="single" w:sz="8" w:space="0" w:color="006265"/>
        </w:tcBorders>
      </w:tcPr>
    </w:tblStylePr>
    <w:tblStylePr w:type="firstCol">
      <w:rPr>
        <w:b/>
        <w:bCs/>
      </w:rPr>
    </w:tblStylePr>
    <w:tblStylePr w:type="lastCol">
      <w:rPr>
        <w:b/>
        <w:bCs/>
      </w:rPr>
    </w:tblStylePr>
    <w:tblStylePr w:type="band1Vert">
      <w:tblPr/>
      <w:tcPr>
        <w:tcBorders>
          <w:top w:val="single" w:sz="8" w:space="0" w:color="006265"/>
          <w:left w:val="single" w:sz="8" w:space="0" w:color="006265"/>
          <w:bottom w:val="single" w:sz="8" w:space="0" w:color="006265"/>
          <w:right w:val="single" w:sz="8" w:space="0" w:color="006265"/>
        </w:tcBorders>
      </w:tcPr>
    </w:tblStylePr>
    <w:tblStylePr w:type="band1Horz">
      <w:tblPr/>
      <w:tcPr>
        <w:tcBorders>
          <w:top w:val="single" w:sz="8" w:space="0" w:color="006265"/>
          <w:left w:val="single" w:sz="8" w:space="0" w:color="006265"/>
          <w:bottom w:val="single" w:sz="8" w:space="0" w:color="006265"/>
          <w:right w:val="single" w:sz="8" w:space="0" w:color="006265"/>
        </w:tcBorders>
      </w:tcPr>
    </w:tblStylePr>
  </w:style>
  <w:style w:type="table" w:styleId="Listaclara-nfasis6">
    <w:name w:val="Light List Accent 6"/>
    <w:basedOn w:val="Tablanormal"/>
    <w:uiPriority w:val="61"/>
    <w:rsid w:val="005D6A6D"/>
    <w:rPr>
      <w:rFonts w:ascii="Arial" w:eastAsia="MS Mincho" w:hAnsi="Arial"/>
      <w:sz w:val="24"/>
      <w:szCs w:val="24"/>
      <w:lang w:val="en-US"/>
    </w:rPr>
    <w:tblPr>
      <w:tblStyleRowBandSize w:val="1"/>
      <w:tblStyleColBandSize w:val="1"/>
      <w:tblBorders>
        <w:top w:val="single" w:sz="8" w:space="0" w:color="006265"/>
        <w:left w:val="single" w:sz="8" w:space="0" w:color="006265"/>
        <w:bottom w:val="single" w:sz="8" w:space="0" w:color="006265"/>
        <w:right w:val="single" w:sz="8" w:space="0" w:color="006265"/>
      </w:tblBorders>
    </w:tblPr>
    <w:tblStylePr w:type="firstRow">
      <w:pPr>
        <w:spacing w:before="0" w:after="0" w:line="240" w:lineRule="auto"/>
      </w:pPr>
      <w:rPr>
        <w:b/>
        <w:bCs/>
        <w:color w:val="FFFFFF"/>
      </w:rPr>
      <w:tblPr/>
      <w:tcPr>
        <w:shd w:val="clear" w:color="auto" w:fill="006265"/>
      </w:tcPr>
    </w:tblStylePr>
    <w:tblStylePr w:type="lastRow">
      <w:pPr>
        <w:spacing w:before="0" w:after="0" w:line="240" w:lineRule="auto"/>
      </w:pPr>
      <w:rPr>
        <w:b/>
        <w:bCs/>
      </w:rPr>
      <w:tblPr/>
      <w:tcPr>
        <w:tcBorders>
          <w:top w:val="double" w:sz="6" w:space="0" w:color="006265"/>
          <w:left w:val="single" w:sz="8" w:space="0" w:color="006265"/>
          <w:bottom w:val="single" w:sz="8" w:space="0" w:color="006265"/>
          <w:right w:val="single" w:sz="8" w:space="0" w:color="006265"/>
        </w:tcBorders>
      </w:tcPr>
    </w:tblStylePr>
    <w:tblStylePr w:type="firstCol">
      <w:rPr>
        <w:b/>
        <w:bCs/>
      </w:rPr>
    </w:tblStylePr>
    <w:tblStylePr w:type="lastCol">
      <w:rPr>
        <w:b/>
        <w:bCs/>
      </w:rPr>
    </w:tblStylePr>
    <w:tblStylePr w:type="band1Vert">
      <w:tblPr/>
      <w:tcPr>
        <w:tcBorders>
          <w:top w:val="single" w:sz="8" w:space="0" w:color="006265"/>
          <w:left w:val="single" w:sz="8" w:space="0" w:color="006265"/>
          <w:bottom w:val="single" w:sz="8" w:space="0" w:color="006265"/>
          <w:right w:val="single" w:sz="8" w:space="0" w:color="006265"/>
        </w:tcBorders>
      </w:tcPr>
    </w:tblStylePr>
    <w:tblStylePr w:type="band1Horz">
      <w:tblPr/>
      <w:tcPr>
        <w:tcBorders>
          <w:top w:val="single" w:sz="8" w:space="0" w:color="006265"/>
          <w:left w:val="single" w:sz="8" w:space="0" w:color="006265"/>
          <w:bottom w:val="single" w:sz="8" w:space="0" w:color="006265"/>
          <w:right w:val="single" w:sz="8" w:space="0" w:color="00626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61"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link w:val="Ttulo1Car"/>
    <w:uiPriority w:val="9"/>
    <w:qFormat/>
    <w:rsid w:val="00EB42B7"/>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paragraph" w:styleId="Ttulo3">
    <w:name w:val="heading 3"/>
    <w:basedOn w:val="Normal"/>
    <w:next w:val="Normal"/>
    <w:link w:val="Ttulo3Car"/>
    <w:uiPriority w:val="9"/>
    <w:qFormat/>
    <w:rsid w:val="00DF584F"/>
    <w:pPr>
      <w:keepNext/>
      <w:keepLines/>
      <w:spacing w:before="40" w:after="0"/>
      <w:outlineLvl w:val="2"/>
    </w:pPr>
    <w:rPr>
      <w:rFonts w:ascii="Calibri Light" w:eastAsia="Times New Roman" w:hAnsi="Calibri Light"/>
      <w:color w:val="1F4D78"/>
      <w:sz w:val="24"/>
      <w:szCs w:val="24"/>
    </w:rPr>
  </w:style>
  <w:style w:type="paragraph" w:styleId="Ttulo4">
    <w:name w:val="heading 4"/>
    <w:basedOn w:val="Normal"/>
    <w:next w:val="Normal"/>
    <w:link w:val="Ttulo4Car"/>
    <w:uiPriority w:val="9"/>
    <w:qFormat/>
    <w:rsid w:val="00DF584F"/>
    <w:pPr>
      <w:keepNext/>
      <w:keepLines/>
      <w:spacing w:before="40" w:after="0"/>
      <w:outlineLvl w:val="3"/>
    </w:pPr>
    <w:rPr>
      <w:rFonts w:ascii="Calibri Light" w:eastAsia="Times New Roman" w:hAnsi="Calibri Light"/>
      <w:i/>
      <w:iCs/>
      <w:color w:val="2E74B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B42B7"/>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5F07D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3Car">
    <w:name w:val="Título 3 Car"/>
    <w:link w:val="Ttulo3"/>
    <w:uiPriority w:val="9"/>
    <w:semiHidden/>
    <w:rsid w:val="00DF584F"/>
    <w:rPr>
      <w:rFonts w:ascii="Calibri Light" w:eastAsia="Times New Roman" w:hAnsi="Calibri Light" w:cs="Times New Roman"/>
      <w:color w:val="1F4D78"/>
      <w:sz w:val="24"/>
      <w:szCs w:val="24"/>
    </w:rPr>
  </w:style>
  <w:style w:type="character" w:customStyle="1" w:styleId="Ttulo4Car">
    <w:name w:val="Título 4 Car"/>
    <w:link w:val="Ttulo4"/>
    <w:uiPriority w:val="9"/>
    <w:semiHidden/>
    <w:rsid w:val="00DF584F"/>
    <w:rPr>
      <w:rFonts w:ascii="Calibri Light" w:eastAsia="Times New Roman" w:hAnsi="Calibri Light" w:cs="Times New Roman"/>
      <w:i/>
      <w:iCs/>
      <w:color w:val="2E74B5"/>
    </w:rPr>
  </w:style>
  <w:style w:type="character" w:customStyle="1" w:styleId="apple-converted-space">
    <w:name w:val="apple-converted-space"/>
    <w:basedOn w:val="Fuentedeprrafopredeter"/>
    <w:rsid w:val="00DF584F"/>
  </w:style>
  <w:style w:type="paragraph" w:styleId="Textodeglobo">
    <w:name w:val="Balloon Text"/>
    <w:basedOn w:val="Normal"/>
    <w:link w:val="TextodegloboCar"/>
    <w:uiPriority w:val="99"/>
    <w:semiHidden/>
    <w:unhideWhenUsed/>
    <w:rsid w:val="006F522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F5222"/>
    <w:rPr>
      <w:rFonts w:ascii="Tahoma" w:hAnsi="Tahoma" w:cs="Tahoma"/>
      <w:sz w:val="16"/>
      <w:szCs w:val="16"/>
    </w:rPr>
  </w:style>
  <w:style w:type="paragraph" w:customStyle="1" w:styleId="Cuadrculamedia1-nfasis21">
    <w:name w:val="Cuadrícula media 1 - Énfasis 21"/>
    <w:basedOn w:val="Normal"/>
    <w:uiPriority w:val="34"/>
    <w:qFormat/>
    <w:rsid w:val="00776743"/>
    <w:pPr>
      <w:ind w:left="720"/>
      <w:contextualSpacing/>
    </w:pPr>
  </w:style>
  <w:style w:type="paragraph" w:styleId="Encabezado">
    <w:name w:val="header"/>
    <w:basedOn w:val="Normal"/>
    <w:link w:val="EncabezadoCar"/>
    <w:uiPriority w:val="99"/>
    <w:unhideWhenUsed/>
    <w:rsid w:val="00ED55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5518"/>
  </w:style>
  <w:style w:type="paragraph" w:styleId="Piedepgina">
    <w:name w:val="footer"/>
    <w:basedOn w:val="Normal"/>
    <w:link w:val="PiedepginaCar"/>
    <w:uiPriority w:val="99"/>
    <w:unhideWhenUsed/>
    <w:rsid w:val="00ED55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5518"/>
  </w:style>
  <w:style w:type="character" w:styleId="Refdecomentario">
    <w:name w:val="annotation reference"/>
    <w:uiPriority w:val="99"/>
    <w:semiHidden/>
    <w:unhideWhenUsed/>
    <w:rsid w:val="0032099F"/>
    <w:rPr>
      <w:sz w:val="16"/>
      <w:szCs w:val="16"/>
    </w:rPr>
  </w:style>
  <w:style w:type="paragraph" w:styleId="Textocomentario">
    <w:name w:val="annotation text"/>
    <w:basedOn w:val="Normal"/>
    <w:link w:val="TextocomentarioCar"/>
    <w:uiPriority w:val="99"/>
    <w:semiHidden/>
    <w:unhideWhenUsed/>
    <w:rsid w:val="0032099F"/>
    <w:pPr>
      <w:spacing w:line="240" w:lineRule="auto"/>
    </w:pPr>
    <w:rPr>
      <w:sz w:val="20"/>
      <w:szCs w:val="20"/>
    </w:rPr>
  </w:style>
  <w:style w:type="character" w:customStyle="1" w:styleId="TextocomentarioCar">
    <w:name w:val="Texto comentario Car"/>
    <w:link w:val="Textocomentario"/>
    <w:uiPriority w:val="99"/>
    <w:semiHidden/>
    <w:rsid w:val="0032099F"/>
    <w:rPr>
      <w:sz w:val="20"/>
      <w:szCs w:val="20"/>
    </w:rPr>
  </w:style>
  <w:style w:type="paragraph" w:styleId="Asuntodelcomentario">
    <w:name w:val="annotation subject"/>
    <w:basedOn w:val="Textocomentario"/>
    <w:next w:val="Textocomentario"/>
    <w:link w:val="AsuntodelcomentarioCar"/>
    <w:uiPriority w:val="99"/>
    <w:semiHidden/>
    <w:unhideWhenUsed/>
    <w:rsid w:val="0032099F"/>
    <w:rPr>
      <w:b/>
      <w:bCs/>
    </w:rPr>
  </w:style>
  <w:style w:type="character" w:customStyle="1" w:styleId="AsuntodelcomentarioCar">
    <w:name w:val="Asunto del comentario Car"/>
    <w:link w:val="Asuntodelcomentario"/>
    <w:uiPriority w:val="99"/>
    <w:semiHidden/>
    <w:rsid w:val="0032099F"/>
    <w:rPr>
      <w:b/>
      <w:bCs/>
      <w:sz w:val="20"/>
      <w:szCs w:val="20"/>
    </w:rPr>
  </w:style>
  <w:style w:type="table" w:customStyle="1" w:styleId="Listaclara-nfasis61">
    <w:name w:val="Lista clara - Énfasis 61"/>
    <w:basedOn w:val="Tablanormal"/>
    <w:next w:val="Bibliografa1"/>
    <w:uiPriority w:val="61"/>
    <w:rsid w:val="003F3B29"/>
    <w:rPr>
      <w:rFonts w:ascii="Arial" w:eastAsia="MS Mincho" w:hAnsi="Arial"/>
      <w:sz w:val="24"/>
      <w:szCs w:val="24"/>
      <w:lang w:val="en-US"/>
    </w:rPr>
    <w:tblPr>
      <w:tblStyleRowBandSize w:val="1"/>
      <w:tblStyleColBandSize w:val="1"/>
      <w:tblBorders>
        <w:top w:val="single" w:sz="8" w:space="0" w:color="006265"/>
        <w:left w:val="single" w:sz="8" w:space="0" w:color="006265"/>
        <w:bottom w:val="single" w:sz="8" w:space="0" w:color="006265"/>
        <w:right w:val="single" w:sz="8" w:space="0" w:color="006265"/>
      </w:tblBorders>
    </w:tblPr>
    <w:tblStylePr w:type="firstRow">
      <w:pPr>
        <w:spacing w:before="0" w:after="0" w:line="240" w:lineRule="auto"/>
      </w:pPr>
      <w:rPr>
        <w:b/>
        <w:bCs/>
        <w:color w:val="FFFFFF"/>
      </w:rPr>
      <w:tblPr/>
      <w:tcPr>
        <w:shd w:val="clear" w:color="auto" w:fill="006265"/>
      </w:tcPr>
    </w:tblStylePr>
    <w:tblStylePr w:type="lastRow">
      <w:pPr>
        <w:spacing w:before="0" w:after="0" w:line="240" w:lineRule="auto"/>
      </w:pPr>
      <w:rPr>
        <w:b/>
        <w:bCs/>
      </w:rPr>
      <w:tblPr/>
      <w:tcPr>
        <w:tcBorders>
          <w:top w:val="double" w:sz="6" w:space="0" w:color="006265"/>
          <w:left w:val="single" w:sz="8" w:space="0" w:color="006265"/>
          <w:bottom w:val="single" w:sz="8" w:space="0" w:color="006265"/>
          <w:right w:val="single" w:sz="8" w:space="0" w:color="006265"/>
        </w:tcBorders>
      </w:tcPr>
    </w:tblStylePr>
    <w:tblStylePr w:type="firstCol">
      <w:rPr>
        <w:b/>
        <w:bCs/>
      </w:rPr>
    </w:tblStylePr>
    <w:tblStylePr w:type="lastCol">
      <w:rPr>
        <w:b/>
        <w:bCs/>
      </w:rPr>
    </w:tblStylePr>
    <w:tblStylePr w:type="band1Vert">
      <w:tblPr/>
      <w:tcPr>
        <w:tcBorders>
          <w:top w:val="single" w:sz="8" w:space="0" w:color="006265"/>
          <w:left w:val="single" w:sz="8" w:space="0" w:color="006265"/>
          <w:bottom w:val="single" w:sz="8" w:space="0" w:color="006265"/>
          <w:right w:val="single" w:sz="8" w:space="0" w:color="006265"/>
        </w:tcBorders>
      </w:tcPr>
    </w:tblStylePr>
    <w:tblStylePr w:type="band1Horz">
      <w:tblPr/>
      <w:tcPr>
        <w:tcBorders>
          <w:top w:val="single" w:sz="8" w:space="0" w:color="006265"/>
          <w:left w:val="single" w:sz="8" w:space="0" w:color="006265"/>
          <w:bottom w:val="single" w:sz="8" w:space="0" w:color="006265"/>
          <w:right w:val="single" w:sz="8" w:space="0" w:color="006265"/>
        </w:tcBorders>
      </w:tcPr>
    </w:tblStylePr>
  </w:style>
  <w:style w:type="table" w:customStyle="1" w:styleId="Bibliografa1">
    <w:name w:val="Bibliografía1"/>
    <w:basedOn w:val="Tablanormal"/>
    <w:uiPriority w:val="61"/>
    <w:rsid w:val="003F3B2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Tablaconcuadrcula">
    <w:name w:val="Table Grid"/>
    <w:basedOn w:val="Tablanormal"/>
    <w:uiPriority w:val="39"/>
    <w:rsid w:val="003F3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2">
    <w:name w:val="Lista clara - Énfasis 62"/>
    <w:basedOn w:val="Tablanormal"/>
    <w:next w:val="Bibliografa1"/>
    <w:uiPriority w:val="61"/>
    <w:rsid w:val="00094527"/>
    <w:rPr>
      <w:rFonts w:ascii="Arial" w:eastAsia="MS Mincho" w:hAnsi="Arial"/>
      <w:sz w:val="24"/>
      <w:szCs w:val="24"/>
      <w:lang w:val="en-US"/>
    </w:rPr>
    <w:tblPr>
      <w:tblStyleRowBandSize w:val="1"/>
      <w:tblStyleColBandSize w:val="1"/>
      <w:tblBorders>
        <w:top w:val="single" w:sz="8" w:space="0" w:color="006265"/>
        <w:left w:val="single" w:sz="8" w:space="0" w:color="006265"/>
        <w:bottom w:val="single" w:sz="8" w:space="0" w:color="006265"/>
        <w:right w:val="single" w:sz="8" w:space="0" w:color="006265"/>
      </w:tblBorders>
    </w:tblPr>
    <w:tblStylePr w:type="firstRow">
      <w:pPr>
        <w:spacing w:before="0" w:after="0" w:line="240" w:lineRule="auto"/>
      </w:pPr>
      <w:rPr>
        <w:b/>
        <w:bCs/>
        <w:color w:val="FFFFFF"/>
      </w:rPr>
      <w:tblPr/>
      <w:tcPr>
        <w:shd w:val="clear" w:color="auto" w:fill="006265"/>
      </w:tcPr>
    </w:tblStylePr>
    <w:tblStylePr w:type="lastRow">
      <w:pPr>
        <w:spacing w:before="0" w:after="0" w:line="240" w:lineRule="auto"/>
      </w:pPr>
      <w:rPr>
        <w:b/>
        <w:bCs/>
      </w:rPr>
      <w:tblPr/>
      <w:tcPr>
        <w:tcBorders>
          <w:top w:val="double" w:sz="6" w:space="0" w:color="006265"/>
          <w:left w:val="single" w:sz="8" w:space="0" w:color="006265"/>
          <w:bottom w:val="single" w:sz="8" w:space="0" w:color="006265"/>
          <w:right w:val="single" w:sz="8" w:space="0" w:color="006265"/>
        </w:tcBorders>
      </w:tcPr>
    </w:tblStylePr>
    <w:tblStylePr w:type="firstCol">
      <w:rPr>
        <w:b/>
        <w:bCs/>
      </w:rPr>
    </w:tblStylePr>
    <w:tblStylePr w:type="lastCol">
      <w:rPr>
        <w:b/>
        <w:bCs/>
      </w:rPr>
    </w:tblStylePr>
    <w:tblStylePr w:type="band1Vert">
      <w:tblPr/>
      <w:tcPr>
        <w:tcBorders>
          <w:top w:val="single" w:sz="8" w:space="0" w:color="006265"/>
          <w:left w:val="single" w:sz="8" w:space="0" w:color="006265"/>
          <w:bottom w:val="single" w:sz="8" w:space="0" w:color="006265"/>
          <w:right w:val="single" w:sz="8" w:space="0" w:color="006265"/>
        </w:tcBorders>
      </w:tcPr>
    </w:tblStylePr>
    <w:tblStylePr w:type="band1Horz">
      <w:tblPr/>
      <w:tcPr>
        <w:tcBorders>
          <w:top w:val="single" w:sz="8" w:space="0" w:color="006265"/>
          <w:left w:val="single" w:sz="8" w:space="0" w:color="006265"/>
          <w:bottom w:val="single" w:sz="8" w:space="0" w:color="006265"/>
          <w:right w:val="single" w:sz="8" w:space="0" w:color="006265"/>
        </w:tcBorders>
      </w:tcPr>
    </w:tblStylePr>
  </w:style>
  <w:style w:type="paragraph" w:customStyle="1" w:styleId="Listamedia2-nfasis21">
    <w:name w:val="Lista media 2 - Énfasis 21"/>
    <w:hidden/>
    <w:uiPriority w:val="71"/>
    <w:rsid w:val="00CC5F2B"/>
    <w:rPr>
      <w:sz w:val="22"/>
      <w:szCs w:val="22"/>
      <w:lang w:eastAsia="en-US"/>
    </w:rPr>
  </w:style>
  <w:style w:type="paragraph" w:customStyle="1" w:styleId="Sombreadovistoso-nfasis11">
    <w:name w:val="Sombreado vistoso - Énfasis 11"/>
    <w:hidden/>
    <w:uiPriority w:val="99"/>
    <w:semiHidden/>
    <w:rsid w:val="004A16D4"/>
    <w:rPr>
      <w:sz w:val="22"/>
      <w:szCs w:val="22"/>
      <w:lang w:eastAsia="en-US"/>
    </w:rPr>
  </w:style>
  <w:style w:type="table" w:styleId="Listaoscura-nfasis6">
    <w:name w:val="Dark List Accent 6"/>
    <w:basedOn w:val="Tablanormal"/>
    <w:uiPriority w:val="61"/>
    <w:rsid w:val="007A0148"/>
    <w:rPr>
      <w:rFonts w:ascii="Arial" w:eastAsia="MS Mincho" w:hAnsi="Arial"/>
      <w:sz w:val="24"/>
      <w:szCs w:val="24"/>
      <w:lang w:val="en-US"/>
    </w:rPr>
    <w:tblPr>
      <w:tblStyleRowBandSize w:val="1"/>
      <w:tblStyleColBandSize w:val="1"/>
      <w:tblBorders>
        <w:top w:val="single" w:sz="8" w:space="0" w:color="006265"/>
        <w:left w:val="single" w:sz="8" w:space="0" w:color="006265"/>
        <w:bottom w:val="single" w:sz="8" w:space="0" w:color="006265"/>
        <w:right w:val="single" w:sz="8" w:space="0" w:color="006265"/>
      </w:tblBorders>
    </w:tblPr>
    <w:tblStylePr w:type="firstRow">
      <w:pPr>
        <w:spacing w:before="0" w:after="0" w:line="240" w:lineRule="auto"/>
      </w:pPr>
      <w:rPr>
        <w:b/>
        <w:bCs/>
        <w:color w:val="FFFFFF"/>
      </w:rPr>
      <w:tblPr/>
      <w:tcPr>
        <w:shd w:val="clear" w:color="auto" w:fill="006265"/>
      </w:tcPr>
    </w:tblStylePr>
    <w:tblStylePr w:type="lastRow">
      <w:pPr>
        <w:spacing w:before="0" w:after="0" w:line="240" w:lineRule="auto"/>
      </w:pPr>
      <w:rPr>
        <w:b/>
        <w:bCs/>
      </w:rPr>
      <w:tblPr/>
      <w:tcPr>
        <w:tcBorders>
          <w:top w:val="double" w:sz="6" w:space="0" w:color="006265"/>
          <w:left w:val="single" w:sz="8" w:space="0" w:color="006265"/>
          <w:bottom w:val="single" w:sz="8" w:space="0" w:color="006265"/>
          <w:right w:val="single" w:sz="8" w:space="0" w:color="006265"/>
        </w:tcBorders>
      </w:tcPr>
    </w:tblStylePr>
    <w:tblStylePr w:type="firstCol">
      <w:rPr>
        <w:b/>
        <w:bCs/>
      </w:rPr>
    </w:tblStylePr>
    <w:tblStylePr w:type="lastCol">
      <w:rPr>
        <w:b/>
        <w:bCs/>
      </w:rPr>
    </w:tblStylePr>
    <w:tblStylePr w:type="band1Vert">
      <w:tblPr/>
      <w:tcPr>
        <w:tcBorders>
          <w:top w:val="single" w:sz="8" w:space="0" w:color="006265"/>
          <w:left w:val="single" w:sz="8" w:space="0" w:color="006265"/>
          <w:bottom w:val="single" w:sz="8" w:space="0" w:color="006265"/>
          <w:right w:val="single" w:sz="8" w:space="0" w:color="006265"/>
        </w:tcBorders>
      </w:tcPr>
    </w:tblStylePr>
    <w:tblStylePr w:type="band1Horz">
      <w:tblPr/>
      <w:tcPr>
        <w:tcBorders>
          <w:top w:val="single" w:sz="8" w:space="0" w:color="006265"/>
          <w:left w:val="single" w:sz="8" w:space="0" w:color="006265"/>
          <w:bottom w:val="single" w:sz="8" w:space="0" w:color="006265"/>
          <w:right w:val="single" w:sz="8" w:space="0" w:color="006265"/>
        </w:tcBorders>
      </w:tcPr>
    </w:tblStylePr>
  </w:style>
  <w:style w:type="table" w:styleId="Listaclara-nfasis6">
    <w:name w:val="Light List Accent 6"/>
    <w:basedOn w:val="Tablanormal"/>
    <w:uiPriority w:val="61"/>
    <w:rsid w:val="005D6A6D"/>
    <w:rPr>
      <w:rFonts w:ascii="Arial" w:eastAsia="MS Mincho" w:hAnsi="Arial"/>
      <w:sz w:val="24"/>
      <w:szCs w:val="24"/>
      <w:lang w:val="en-US"/>
    </w:rPr>
    <w:tblPr>
      <w:tblStyleRowBandSize w:val="1"/>
      <w:tblStyleColBandSize w:val="1"/>
      <w:tblBorders>
        <w:top w:val="single" w:sz="8" w:space="0" w:color="006265"/>
        <w:left w:val="single" w:sz="8" w:space="0" w:color="006265"/>
        <w:bottom w:val="single" w:sz="8" w:space="0" w:color="006265"/>
        <w:right w:val="single" w:sz="8" w:space="0" w:color="006265"/>
      </w:tblBorders>
    </w:tblPr>
    <w:tblStylePr w:type="firstRow">
      <w:pPr>
        <w:spacing w:before="0" w:after="0" w:line="240" w:lineRule="auto"/>
      </w:pPr>
      <w:rPr>
        <w:b/>
        <w:bCs/>
        <w:color w:val="FFFFFF"/>
      </w:rPr>
      <w:tblPr/>
      <w:tcPr>
        <w:shd w:val="clear" w:color="auto" w:fill="006265"/>
      </w:tcPr>
    </w:tblStylePr>
    <w:tblStylePr w:type="lastRow">
      <w:pPr>
        <w:spacing w:before="0" w:after="0" w:line="240" w:lineRule="auto"/>
      </w:pPr>
      <w:rPr>
        <w:b/>
        <w:bCs/>
      </w:rPr>
      <w:tblPr/>
      <w:tcPr>
        <w:tcBorders>
          <w:top w:val="double" w:sz="6" w:space="0" w:color="006265"/>
          <w:left w:val="single" w:sz="8" w:space="0" w:color="006265"/>
          <w:bottom w:val="single" w:sz="8" w:space="0" w:color="006265"/>
          <w:right w:val="single" w:sz="8" w:space="0" w:color="006265"/>
        </w:tcBorders>
      </w:tcPr>
    </w:tblStylePr>
    <w:tblStylePr w:type="firstCol">
      <w:rPr>
        <w:b/>
        <w:bCs/>
      </w:rPr>
    </w:tblStylePr>
    <w:tblStylePr w:type="lastCol">
      <w:rPr>
        <w:b/>
        <w:bCs/>
      </w:rPr>
    </w:tblStylePr>
    <w:tblStylePr w:type="band1Vert">
      <w:tblPr/>
      <w:tcPr>
        <w:tcBorders>
          <w:top w:val="single" w:sz="8" w:space="0" w:color="006265"/>
          <w:left w:val="single" w:sz="8" w:space="0" w:color="006265"/>
          <w:bottom w:val="single" w:sz="8" w:space="0" w:color="006265"/>
          <w:right w:val="single" w:sz="8" w:space="0" w:color="006265"/>
        </w:tcBorders>
      </w:tcPr>
    </w:tblStylePr>
    <w:tblStylePr w:type="band1Horz">
      <w:tblPr/>
      <w:tcPr>
        <w:tcBorders>
          <w:top w:val="single" w:sz="8" w:space="0" w:color="006265"/>
          <w:left w:val="single" w:sz="8" w:space="0" w:color="006265"/>
          <w:bottom w:val="single" w:sz="8" w:space="0" w:color="006265"/>
          <w:right w:val="single" w:sz="8" w:space="0" w:color="00626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73124">
      <w:bodyDiv w:val="1"/>
      <w:marLeft w:val="0"/>
      <w:marRight w:val="0"/>
      <w:marTop w:val="0"/>
      <w:marBottom w:val="0"/>
      <w:divBdr>
        <w:top w:val="none" w:sz="0" w:space="0" w:color="auto"/>
        <w:left w:val="none" w:sz="0" w:space="0" w:color="auto"/>
        <w:bottom w:val="none" w:sz="0" w:space="0" w:color="auto"/>
        <w:right w:val="none" w:sz="0" w:space="0" w:color="auto"/>
      </w:divBdr>
      <w:divsChild>
        <w:div w:id="260843475">
          <w:marLeft w:val="0"/>
          <w:marRight w:val="0"/>
          <w:marTop w:val="0"/>
          <w:marBottom w:val="0"/>
          <w:divBdr>
            <w:top w:val="none" w:sz="0" w:space="0" w:color="auto"/>
            <w:left w:val="none" w:sz="0" w:space="0" w:color="auto"/>
            <w:bottom w:val="none" w:sz="0" w:space="0" w:color="auto"/>
            <w:right w:val="none" w:sz="0" w:space="0" w:color="auto"/>
          </w:divBdr>
        </w:div>
        <w:div w:id="1704597116">
          <w:marLeft w:val="0"/>
          <w:marRight w:val="0"/>
          <w:marTop w:val="0"/>
          <w:marBottom w:val="0"/>
          <w:divBdr>
            <w:top w:val="none" w:sz="0" w:space="0" w:color="auto"/>
            <w:left w:val="none" w:sz="0" w:space="0" w:color="auto"/>
            <w:bottom w:val="none" w:sz="0" w:space="0" w:color="auto"/>
            <w:right w:val="none" w:sz="0" w:space="0" w:color="auto"/>
          </w:divBdr>
        </w:div>
      </w:divsChild>
    </w:div>
    <w:div w:id="640425570">
      <w:bodyDiv w:val="1"/>
      <w:marLeft w:val="0"/>
      <w:marRight w:val="0"/>
      <w:marTop w:val="0"/>
      <w:marBottom w:val="0"/>
      <w:divBdr>
        <w:top w:val="none" w:sz="0" w:space="0" w:color="auto"/>
        <w:left w:val="none" w:sz="0" w:space="0" w:color="auto"/>
        <w:bottom w:val="none" w:sz="0" w:space="0" w:color="auto"/>
        <w:right w:val="none" w:sz="0" w:space="0" w:color="auto"/>
      </w:divBdr>
      <w:divsChild>
        <w:div w:id="522086848">
          <w:marLeft w:val="0"/>
          <w:marRight w:val="0"/>
          <w:marTop w:val="0"/>
          <w:marBottom w:val="0"/>
          <w:divBdr>
            <w:top w:val="none" w:sz="0" w:space="0" w:color="auto"/>
            <w:left w:val="none" w:sz="0" w:space="0" w:color="auto"/>
            <w:bottom w:val="none" w:sz="0" w:space="0" w:color="auto"/>
            <w:right w:val="none" w:sz="0" w:space="0" w:color="auto"/>
          </w:divBdr>
        </w:div>
        <w:div w:id="605040220">
          <w:marLeft w:val="0"/>
          <w:marRight w:val="0"/>
          <w:marTop w:val="0"/>
          <w:marBottom w:val="0"/>
          <w:divBdr>
            <w:top w:val="none" w:sz="0" w:space="0" w:color="auto"/>
            <w:left w:val="none" w:sz="0" w:space="0" w:color="auto"/>
            <w:bottom w:val="none" w:sz="0" w:space="0" w:color="auto"/>
            <w:right w:val="none" w:sz="0" w:space="0" w:color="auto"/>
          </w:divBdr>
        </w:div>
        <w:div w:id="1228296132">
          <w:marLeft w:val="0"/>
          <w:marRight w:val="0"/>
          <w:marTop w:val="0"/>
          <w:marBottom w:val="0"/>
          <w:divBdr>
            <w:top w:val="none" w:sz="0" w:space="0" w:color="auto"/>
            <w:left w:val="none" w:sz="0" w:space="0" w:color="auto"/>
            <w:bottom w:val="none" w:sz="0" w:space="0" w:color="auto"/>
            <w:right w:val="none" w:sz="0" w:space="0" w:color="auto"/>
          </w:divBdr>
        </w:div>
      </w:divsChild>
    </w:div>
    <w:div w:id="1098213893">
      <w:bodyDiv w:val="1"/>
      <w:marLeft w:val="0"/>
      <w:marRight w:val="0"/>
      <w:marTop w:val="0"/>
      <w:marBottom w:val="0"/>
      <w:divBdr>
        <w:top w:val="none" w:sz="0" w:space="0" w:color="auto"/>
        <w:left w:val="none" w:sz="0" w:space="0" w:color="auto"/>
        <w:bottom w:val="none" w:sz="0" w:space="0" w:color="auto"/>
        <w:right w:val="none" w:sz="0" w:space="0" w:color="auto"/>
      </w:divBdr>
    </w:div>
    <w:div w:id="1166480731">
      <w:bodyDiv w:val="1"/>
      <w:marLeft w:val="0"/>
      <w:marRight w:val="0"/>
      <w:marTop w:val="0"/>
      <w:marBottom w:val="0"/>
      <w:divBdr>
        <w:top w:val="none" w:sz="0" w:space="0" w:color="auto"/>
        <w:left w:val="none" w:sz="0" w:space="0" w:color="auto"/>
        <w:bottom w:val="none" w:sz="0" w:space="0" w:color="auto"/>
        <w:right w:val="none" w:sz="0" w:space="0" w:color="auto"/>
      </w:divBdr>
      <w:divsChild>
        <w:div w:id="1106733984">
          <w:marLeft w:val="0"/>
          <w:marRight w:val="0"/>
          <w:marTop w:val="0"/>
          <w:marBottom w:val="0"/>
          <w:divBdr>
            <w:top w:val="none" w:sz="0" w:space="0" w:color="auto"/>
            <w:left w:val="none" w:sz="0" w:space="0" w:color="auto"/>
            <w:bottom w:val="none" w:sz="0" w:space="0" w:color="auto"/>
            <w:right w:val="none" w:sz="0" w:space="0" w:color="auto"/>
          </w:divBdr>
        </w:div>
        <w:div w:id="2123187857">
          <w:marLeft w:val="0"/>
          <w:marRight w:val="0"/>
          <w:marTop w:val="0"/>
          <w:marBottom w:val="0"/>
          <w:divBdr>
            <w:top w:val="none" w:sz="0" w:space="0" w:color="auto"/>
            <w:left w:val="none" w:sz="0" w:space="0" w:color="auto"/>
            <w:bottom w:val="none" w:sz="0" w:space="0" w:color="auto"/>
            <w:right w:val="none" w:sz="0" w:space="0" w:color="auto"/>
          </w:divBdr>
        </w:div>
      </w:divsChild>
    </w:div>
    <w:div w:id="1322582983">
      <w:bodyDiv w:val="1"/>
      <w:marLeft w:val="0"/>
      <w:marRight w:val="0"/>
      <w:marTop w:val="0"/>
      <w:marBottom w:val="0"/>
      <w:divBdr>
        <w:top w:val="none" w:sz="0" w:space="0" w:color="auto"/>
        <w:left w:val="none" w:sz="0" w:space="0" w:color="auto"/>
        <w:bottom w:val="none" w:sz="0" w:space="0" w:color="auto"/>
        <w:right w:val="none" w:sz="0" w:space="0" w:color="auto"/>
      </w:divBdr>
    </w:div>
    <w:div w:id="1431731124">
      <w:bodyDiv w:val="1"/>
      <w:marLeft w:val="0"/>
      <w:marRight w:val="0"/>
      <w:marTop w:val="0"/>
      <w:marBottom w:val="0"/>
      <w:divBdr>
        <w:top w:val="none" w:sz="0" w:space="0" w:color="auto"/>
        <w:left w:val="none" w:sz="0" w:space="0" w:color="auto"/>
        <w:bottom w:val="none" w:sz="0" w:space="0" w:color="auto"/>
        <w:right w:val="none" w:sz="0" w:space="0" w:color="auto"/>
      </w:divBdr>
    </w:div>
    <w:div w:id="1552424530">
      <w:bodyDiv w:val="1"/>
      <w:marLeft w:val="0"/>
      <w:marRight w:val="0"/>
      <w:marTop w:val="0"/>
      <w:marBottom w:val="0"/>
      <w:divBdr>
        <w:top w:val="none" w:sz="0" w:space="0" w:color="auto"/>
        <w:left w:val="none" w:sz="0" w:space="0" w:color="auto"/>
        <w:bottom w:val="none" w:sz="0" w:space="0" w:color="auto"/>
        <w:right w:val="none" w:sz="0" w:space="0" w:color="auto"/>
      </w:divBdr>
      <w:divsChild>
        <w:div w:id="118496906">
          <w:marLeft w:val="0"/>
          <w:marRight w:val="0"/>
          <w:marTop w:val="0"/>
          <w:marBottom w:val="0"/>
          <w:divBdr>
            <w:top w:val="none" w:sz="0" w:space="0" w:color="auto"/>
            <w:left w:val="none" w:sz="0" w:space="0" w:color="auto"/>
            <w:bottom w:val="none" w:sz="0" w:space="0" w:color="auto"/>
            <w:right w:val="none" w:sz="0" w:space="0" w:color="auto"/>
          </w:divBdr>
        </w:div>
        <w:div w:id="521481732">
          <w:marLeft w:val="0"/>
          <w:marRight w:val="0"/>
          <w:marTop w:val="0"/>
          <w:marBottom w:val="0"/>
          <w:divBdr>
            <w:top w:val="none" w:sz="0" w:space="0" w:color="auto"/>
            <w:left w:val="none" w:sz="0" w:space="0" w:color="auto"/>
            <w:bottom w:val="none" w:sz="0" w:space="0" w:color="auto"/>
            <w:right w:val="none" w:sz="0" w:space="0" w:color="auto"/>
          </w:divBdr>
        </w:div>
      </w:divsChild>
    </w:div>
    <w:div w:id="1919561442">
      <w:bodyDiv w:val="1"/>
      <w:marLeft w:val="0"/>
      <w:marRight w:val="0"/>
      <w:marTop w:val="0"/>
      <w:marBottom w:val="0"/>
      <w:divBdr>
        <w:top w:val="none" w:sz="0" w:space="0" w:color="auto"/>
        <w:left w:val="none" w:sz="0" w:space="0" w:color="auto"/>
        <w:bottom w:val="none" w:sz="0" w:space="0" w:color="auto"/>
        <w:right w:val="none" w:sz="0" w:space="0" w:color="auto"/>
      </w:divBdr>
    </w:div>
    <w:div w:id="21425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1"/>
          <c:order val="0"/>
          <c:tx>
            <c:strRef>
              <c:f>[G1_1.xlsx]Sexo!$R$7</c:f>
              <c:strCache>
                <c:ptCount val="1"/>
                <c:pt idx="0">
                  <c:v>Hombre</c:v>
                </c:pt>
              </c:strCache>
            </c:strRef>
          </c:tx>
          <c:spPr>
            <a:solidFill>
              <a:srgbClr val="006265"/>
            </a:solidFill>
            <a:ln w="6350">
              <a:noFill/>
            </a:ln>
          </c:spPr>
          <c:invertIfNegative val="0"/>
          <c:dPt>
            <c:idx val="0"/>
            <c:invertIfNegative val="0"/>
            <c:bubble3D val="0"/>
          </c:dPt>
          <c:dLbls>
            <c:numFmt formatCode="#,##0.0" sourceLinked="0"/>
            <c:txPr>
              <a:bodyPr/>
              <a:lstStyle/>
              <a:p>
                <a:pPr>
                  <a:defRPr>
                    <a:solidFill>
                      <a:schemeClr val="bg1"/>
                    </a:solidFill>
                  </a:defRPr>
                </a:pPr>
                <a:endParaRPr lang="es-ES"/>
              </a:p>
            </c:txPr>
            <c:showLegendKey val="0"/>
            <c:showVal val="1"/>
            <c:showCatName val="0"/>
            <c:showSerName val="0"/>
            <c:showPercent val="0"/>
            <c:showBubbleSize val="0"/>
            <c:showLeaderLines val="0"/>
          </c:dLbls>
          <c:cat>
            <c:strRef>
              <c:f>[G1_1.xlsx]Sexo!$M$9:$M$13</c:f>
              <c:strCache>
                <c:ptCount val="5"/>
                <c:pt idx="0">
                  <c:v>1980/81</c:v>
                </c:pt>
                <c:pt idx="1">
                  <c:v>1990/91</c:v>
                </c:pt>
                <c:pt idx="2">
                  <c:v>2000</c:v>
                </c:pt>
                <c:pt idx="3">
                  <c:v>2010</c:v>
                </c:pt>
                <c:pt idx="4">
                  <c:v>2017</c:v>
                </c:pt>
              </c:strCache>
            </c:strRef>
          </c:cat>
          <c:val>
            <c:numRef>
              <c:f>[G1_1.xlsx]Sexo!$R$9:$R$13</c:f>
              <c:numCache>
                <c:formatCode>0.00</c:formatCode>
                <c:ptCount val="5"/>
                <c:pt idx="0">
                  <c:v>86.275393579904303</c:v>
                </c:pt>
                <c:pt idx="1">
                  <c:v>82.393222866643498</c:v>
                </c:pt>
                <c:pt idx="2">
                  <c:v>79.676106438669621</c:v>
                </c:pt>
                <c:pt idx="3">
                  <c:v>70.338992848942766</c:v>
                </c:pt>
                <c:pt idx="4">
                  <c:v>66.40526363296398</c:v>
                </c:pt>
              </c:numCache>
            </c:numRef>
          </c:val>
        </c:ser>
        <c:ser>
          <c:idx val="0"/>
          <c:order val="1"/>
          <c:tx>
            <c:strRef>
              <c:f>[G1_1.xlsx]Sexo!$S$7</c:f>
              <c:strCache>
                <c:ptCount val="1"/>
                <c:pt idx="0">
                  <c:v>Mujer</c:v>
                </c:pt>
              </c:strCache>
            </c:strRef>
          </c:tx>
          <c:spPr>
            <a:solidFill>
              <a:srgbClr val="CED978"/>
            </a:solidFill>
            <a:ln w="6350">
              <a:noFill/>
            </a:ln>
          </c:spPr>
          <c:invertIfNegative val="0"/>
          <c:dLbls>
            <c:numFmt formatCode="#,##0.0" sourceLinked="0"/>
            <c:showLegendKey val="0"/>
            <c:showVal val="1"/>
            <c:showCatName val="0"/>
            <c:showSerName val="0"/>
            <c:showPercent val="0"/>
            <c:showBubbleSize val="0"/>
            <c:showLeaderLines val="0"/>
          </c:dLbls>
          <c:cat>
            <c:strRef>
              <c:f>[G1_1.xlsx]Sexo!$M$9:$M$13</c:f>
              <c:strCache>
                <c:ptCount val="5"/>
                <c:pt idx="0">
                  <c:v>1980/81</c:v>
                </c:pt>
                <c:pt idx="1">
                  <c:v>1990/91</c:v>
                </c:pt>
                <c:pt idx="2">
                  <c:v>2000</c:v>
                </c:pt>
                <c:pt idx="3">
                  <c:v>2010</c:v>
                </c:pt>
                <c:pt idx="4">
                  <c:v>2017</c:v>
                </c:pt>
              </c:strCache>
            </c:strRef>
          </c:cat>
          <c:val>
            <c:numRef>
              <c:f>[G1_1.xlsx]Sexo!$S$9:$S$13</c:f>
              <c:numCache>
                <c:formatCode>0.00</c:formatCode>
                <c:ptCount val="5"/>
                <c:pt idx="0">
                  <c:v>13.724606420095128</c:v>
                </c:pt>
                <c:pt idx="1">
                  <c:v>17.606777133356289</c:v>
                </c:pt>
                <c:pt idx="2">
                  <c:v>20.323893561330852</c:v>
                </c:pt>
                <c:pt idx="3">
                  <c:v>29.661007151057245</c:v>
                </c:pt>
                <c:pt idx="4">
                  <c:v>33.594730965291255</c:v>
                </c:pt>
              </c:numCache>
            </c:numRef>
          </c:val>
        </c:ser>
        <c:dLbls>
          <c:showLegendKey val="0"/>
          <c:showVal val="0"/>
          <c:showCatName val="0"/>
          <c:showSerName val="0"/>
          <c:showPercent val="0"/>
          <c:showBubbleSize val="0"/>
        </c:dLbls>
        <c:gapWidth val="55"/>
        <c:overlap val="100"/>
        <c:axId val="363657472"/>
        <c:axId val="363941888"/>
      </c:barChart>
      <c:catAx>
        <c:axId val="363657472"/>
        <c:scaling>
          <c:orientation val="maxMin"/>
        </c:scaling>
        <c:delete val="0"/>
        <c:axPos val="l"/>
        <c:numFmt formatCode="General" sourceLinked="1"/>
        <c:majorTickMark val="none"/>
        <c:minorTickMark val="none"/>
        <c:tickLblPos val="low"/>
        <c:spPr>
          <a:ln w="3175">
            <a:noFill/>
            <a:prstDash val="solid"/>
          </a:ln>
        </c:spPr>
        <c:crossAx val="363941888"/>
        <c:crosses val="autoZero"/>
        <c:auto val="1"/>
        <c:lblAlgn val="ctr"/>
        <c:lblOffset val="100"/>
        <c:noMultiLvlLbl val="0"/>
      </c:catAx>
      <c:valAx>
        <c:axId val="363941888"/>
        <c:scaling>
          <c:orientation val="minMax"/>
        </c:scaling>
        <c:delete val="0"/>
        <c:axPos val="t"/>
        <c:majorGridlines>
          <c:spPr>
            <a:ln w="3175">
              <a:solidFill>
                <a:sysClr val="window" lastClr="FFFFFF">
                  <a:lumMod val="65000"/>
                </a:sysClr>
              </a:solidFill>
            </a:ln>
          </c:spPr>
        </c:majorGridlines>
        <c:numFmt formatCode="0%" sourceLinked="0"/>
        <c:majorTickMark val="none"/>
        <c:minorTickMark val="none"/>
        <c:tickLblPos val="high"/>
        <c:spPr>
          <a:ln w="3175">
            <a:noFill/>
          </a:ln>
        </c:spPr>
        <c:crossAx val="363657472"/>
        <c:crosses val="autoZero"/>
        <c:crossBetween val="between"/>
      </c:valAx>
      <c:spPr>
        <a:solidFill>
          <a:sysClr val="window" lastClr="FFFFFF"/>
        </a:solidFill>
        <a:ln w="9525">
          <a:solidFill>
            <a:sysClr val="window" lastClr="FFFFFF">
              <a:lumMod val="65000"/>
            </a:sysClr>
          </a:solidFill>
        </a:ln>
      </c:spPr>
    </c:plotArea>
    <c:legend>
      <c:legendPos val="b"/>
      <c:layout>
        <c:manualLayout>
          <c:xMode val="edge"/>
          <c:yMode val="edge"/>
          <c:x val="0"/>
          <c:y val="0.90807673611111106"/>
          <c:w val="0.9"/>
          <c:h val="6.5464930555555551E-2"/>
        </c:manualLayout>
      </c:layout>
      <c:overlay val="0"/>
    </c:legend>
    <c:plotVisOnly val="1"/>
    <c:dispBlanksAs val="zero"/>
    <c:showDLblsOverMax val="0"/>
  </c:chart>
  <c:spPr>
    <a:noFill/>
    <a:ln>
      <a:noFill/>
    </a:ln>
  </c:spPr>
  <c:txPr>
    <a:bodyPr/>
    <a:lstStyle/>
    <a:p>
      <a:pPr>
        <a:defRPr sz="800">
          <a:latin typeface="Arial" pitchFamily="34" charset="0"/>
          <a:ea typeface="Tahoma" pitchFamily="34" charset="0"/>
          <a:cs typeface="Arial" pitchFamily="34" charset="0"/>
        </a:defRPr>
      </a:pPr>
      <a:endParaRPr lang="es-E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1"/>
          <c:order val="0"/>
          <c:tx>
            <c:strRef>
              <c:f>[G1_3.xlsx]Tamaño!$S$5</c:f>
              <c:strCache>
                <c:ptCount val="1"/>
                <c:pt idx="0">
                  <c:v>1 y 2 miembros</c:v>
                </c:pt>
              </c:strCache>
            </c:strRef>
          </c:tx>
          <c:spPr>
            <a:solidFill>
              <a:srgbClr val="006265"/>
            </a:solidFill>
            <a:ln w="6350">
              <a:noFill/>
            </a:ln>
          </c:spPr>
          <c:invertIfNegative val="0"/>
          <c:dLbls>
            <c:numFmt formatCode="#,##0.0" sourceLinked="0"/>
            <c:txPr>
              <a:bodyPr/>
              <a:lstStyle/>
              <a:p>
                <a:pPr>
                  <a:defRPr>
                    <a:solidFill>
                      <a:schemeClr val="bg1"/>
                    </a:solidFill>
                  </a:defRPr>
                </a:pPr>
                <a:endParaRPr lang="es-ES"/>
              </a:p>
            </c:txPr>
            <c:showLegendKey val="0"/>
            <c:showVal val="1"/>
            <c:showCatName val="0"/>
            <c:showSerName val="0"/>
            <c:showPercent val="0"/>
            <c:showBubbleSize val="0"/>
            <c:showLeaderLines val="0"/>
          </c:dLbls>
          <c:cat>
            <c:strRef>
              <c:f>[G1_3.xlsx]Tamaño!$M$7:$M$11</c:f>
              <c:strCache>
                <c:ptCount val="5"/>
                <c:pt idx="0">
                  <c:v>1980/81</c:v>
                </c:pt>
                <c:pt idx="1">
                  <c:v>1990/91</c:v>
                </c:pt>
                <c:pt idx="2">
                  <c:v>2000</c:v>
                </c:pt>
                <c:pt idx="3">
                  <c:v>2010</c:v>
                </c:pt>
                <c:pt idx="4">
                  <c:v>2017</c:v>
                </c:pt>
              </c:strCache>
            </c:strRef>
          </c:cat>
          <c:val>
            <c:numRef>
              <c:f>[G1_3.xlsx]Tamaño!$S$7:$S$11</c:f>
              <c:numCache>
                <c:formatCode>0.00</c:formatCode>
                <c:ptCount val="5"/>
                <c:pt idx="0">
                  <c:v>28.886760034095403</c:v>
                </c:pt>
                <c:pt idx="1">
                  <c:v>32.289927128292931</c:v>
                </c:pt>
                <c:pt idx="2">
                  <c:v>39.213462458035501</c:v>
                </c:pt>
                <c:pt idx="3">
                  <c:v>52.159242283550391</c:v>
                </c:pt>
                <c:pt idx="4">
                  <c:v>55.981959684942154</c:v>
                </c:pt>
              </c:numCache>
            </c:numRef>
          </c:val>
        </c:ser>
        <c:ser>
          <c:idx val="0"/>
          <c:order val="1"/>
          <c:tx>
            <c:strRef>
              <c:f>[G1_3.xlsx]Tamaño!$T$5</c:f>
              <c:strCache>
                <c:ptCount val="1"/>
                <c:pt idx="0">
                  <c:v>3 y 4 miembros</c:v>
                </c:pt>
              </c:strCache>
            </c:strRef>
          </c:tx>
          <c:spPr>
            <a:solidFill>
              <a:srgbClr val="CED978"/>
            </a:solidFill>
            <a:ln w="6350">
              <a:noFill/>
            </a:ln>
          </c:spPr>
          <c:invertIfNegative val="0"/>
          <c:dLbls>
            <c:numFmt formatCode="#,##0.0" sourceLinked="0"/>
            <c:showLegendKey val="0"/>
            <c:showVal val="1"/>
            <c:showCatName val="0"/>
            <c:showSerName val="0"/>
            <c:showPercent val="0"/>
            <c:showBubbleSize val="0"/>
            <c:showLeaderLines val="0"/>
          </c:dLbls>
          <c:cat>
            <c:strRef>
              <c:f>[G1_3.xlsx]Tamaño!$M$7:$M$11</c:f>
              <c:strCache>
                <c:ptCount val="5"/>
                <c:pt idx="0">
                  <c:v>1980/81</c:v>
                </c:pt>
                <c:pt idx="1">
                  <c:v>1990/91</c:v>
                </c:pt>
                <c:pt idx="2">
                  <c:v>2000</c:v>
                </c:pt>
                <c:pt idx="3">
                  <c:v>2010</c:v>
                </c:pt>
                <c:pt idx="4">
                  <c:v>2017</c:v>
                </c:pt>
              </c:strCache>
            </c:strRef>
          </c:cat>
          <c:val>
            <c:numRef>
              <c:f>[G1_3.xlsx]Tamaño!$T$7:$T$11</c:f>
              <c:numCache>
                <c:formatCode>0.00</c:formatCode>
                <c:ptCount val="5"/>
                <c:pt idx="0">
                  <c:v>42.208974599788071</c:v>
                </c:pt>
                <c:pt idx="1">
                  <c:v>45.741060717037513</c:v>
                </c:pt>
                <c:pt idx="2">
                  <c:v>48.414117390065265</c:v>
                </c:pt>
                <c:pt idx="3">
                  <c:v>40.498024753938708</c:v>
                </c:pt>
                <c:pt idx="4">
                  <c:v>38.428757765615813</c:v>
                </c:pt>
              </c:numCache>
            </c:numRef>
          </c:val>
        </c:ser>
        <c:ser>
          <c:idx val="3"/>
          <c:order val="2"/>
          <c:tx>
            <c:strRef>
              <c:f>[G1_3.xlsx]Tamaño!$U$5</c:f>
              <c:strCache>
                <c:ptCount val="1"/>
                <c:pt idx="0">
                  <c:v>5 y más miembros</c:v>
                </c:pt>
              </c:strCache>
            </c:strRef>
          </c:tx>
          <c:spPr>
            <a:solidFill>
              <a:srgbClr val="738A42"/>
            </a:solidFill>
            <a:ln w="6350">
              <a:noFill/>
            </a:ln>
          </c:spPr>
          <c:invertIfNegative val="0"/>
          <c:dLbls>
            <c:numFmt formatCode="#,##0.0" sourceLinked="0"/>
            <c:showLegendKey val="0"/>
            <c:showVal val="1"/>
            <c:showCatName val="0"/>
            <c:showSerName val="0"/>
            <c:showPercent val="0"/>
            <c:showBubbleSize val="0"/>
            <c:showLeaderLines val="0"/>
          </c:dLbls>
          <c:cat>
            <c:strRef>
              <c:f>[G1_3.xlsx]Tamaño!$M$7:$M$11</c:f>
              <c:strCache>
                <c:ptCount val="5"/>
                <c:pt idx="0">
                  <c:v>1980/81</c:v>
                </c:pt>
                <c:pt idx="1">
                  <c:v>1990/91</c:v>
                </c:pt>
                <c:pt idx="2">
                  <c:v>2000</c:v>
                </c:pt>
                <c:pt idx="3">
                  <c:v>2010</c:v>
                </c:pt>
                <c:pt idx="4">
                  <c:v>2017</c:v>
                </c:pt>
              </c:strCache>
            </c:strRef>
          </c:cat>
          <c:val>
            <c:numRef>
              <c:f>[G1_3.xlsx]Tamaño!$U$7:$U$11</c:f>
              <c:numCache>
                <c:formatCode>0.00</c:formatCode>
                <c:ptCount val="5"/>
                <c:pt idx="0">
                  <c:v>28.904265366116128</c:v>
                </c:pt>
                <c:pt idx="1">
                  <c:v>21.969012154669574</c:v>
                </c:pt>
                <c:pt idx="2">
                  <c:v>12.372420151899352</c:v>
                </c:pt>
                <c:pt idx="3">
                  <c:v>7.3427329625109046</c:v>
                </c:pt>
                <c:pt idx="4">
                  <c:v>5.5892825494420348</c:v>
                </c:pt>
              </c:numCache>
            </c:numRef>
          </c:val>
        </c:ser>
        <c:dLbls>
          <c:showLegendKey val="0"/>
          <c:showVal val="0"/>
          <c:showCatName val="0"/>
          <c:showSerName val="0"/>
          <c:showPercent val="0"/>
          <c:showBubbleSize val="0"/>
        </c:dLbls>
        <c:gapWidth val="55"/>
        <c:overlap val="100"/>
        <c:axId val="364075264"/>
        <c:axId val="364089344"/>
      </c:barChart>
      <c:catAx>
        <c:axId val="364075264"/>
        <c:scaling>
          <c:orientation val="maxMin"/>
        </c:scaling>
        <c:delete val="0"/>
        <c:axPos val="l"/>
        <c:numFmt formatCode="General" sourceLinked="1"/>
        <c:majorTickMark val="none"/>
        <c:minorTickMark val="none"/>
        <c:tickLblPos val="low"/>
        <c:spPr>
          <a:ln w="3175">
            <a:noFill/>
            <a:prstDash val="solid"/>
          </a:ln>
        </c:spPr>
        <c:crossAx val="364089344"/>
        <c:crosses val="autoZero"/>
        <c:auto val="1"/>
        <c:lblAlgn val="ctr"/>
        <c:lblOffset val="100"/>
        <c:noMultiLvlLbl val="0"/>
      </c:catAx>
      <c:valAx>
        <c:axId val="364089344"/>
        <c:scaling>
          <c:orientation val="minMax"/>
        </c:scaling>
        <c:delete val="0"/>
        <c:axPos val="t"/>
        <c:majorGridlines>
          <c:spPr>
            <a:ln w="3175">
              <a:solidFill>
                <a:sysClr val="window" lastClr="FFFFFF">
                  <a:lumMod val="65000"/>
                </a:sysClr>
              </a:solidFill>
            </a:ln>
          </c:spPr>
        </c:majorGridlines>
        <c:numFmt formatCode="0%" sourceLinked="0"/>
        <c:majorTickMark val="none"/>
        <c:minorTickMark val="none"/>
        <c:tickLblPos val="high"/>
        <c:spPr>
          <a:ln w="3175">
            <a:noFill/>
          </a:ln>
        </c:spPr>
        <c:crossAx val="364075264"/>
        <c:crosses val="autoZero"/>
        <c:crossBetween val="between"/>
      </c:valAx>
      <c:spPr>
        <a:solidFill>
          <a:sysClr val="window" lastClr="FFFFFF"/>
        </a:solidFill>
        <a:ln w="9525">
          <a:solidFill>
            <a:sysClr val="window" lastClr="FFFFFF">
              <a:lumMod val="65000"/>
            </a:sysClr>
          </a:solidFill>
        </a:ln>
      </c:spPr>
    </c:plotArea>
    <c:legend>
      <c:legendPos val="b"/>
      <c:layout>
        <c:manualLayout>
          <c:xMode val="edge"/>
          <c:yMode val="edge"/>
          <c:x val="0"/>
          <c:y val="0.90807673611111106"/>
          <c:w val="0.9"/>
          <c:h val="6.5464930555555551E-2"/>
        </c:manualLayout>
      </c:layout>
      <c:overlay val="0"/>
    </c:legend>
    <c:plotVisOnly val="1"/>
    <c:dispBlanksAs val="zero"/>
    <c:showDLblsOverMax val="0"/>
  </c:chart>
  <c:spPr>
    <a:noFill/>
    <a:ln>
      <a:noFill/>
    </a:ln>
  </c:spPr>
  <c:txPr>
    <a:bodyPr/>
    <a:lstStyle/>
    <a:p>
      <a:pPr>
        <a:defRPr sz="800">
          <a:latin typeface="Arial" pitchFamily="34" charset="0"/>
          <a:ea typeface="Tahoma" pitchFamily="34" charset="0"/>
          <a:cs typeface="Arial" pitchFamily="34" charset="0"/>
        </a:defRPr>
      </a:pPr>
      <a:endParaRPr lang="es-E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202145360664273"/>
          <c:y val="5.9523809523809521E-2"/>
          <c:w val="0.77843696493459791"/>
          <c:h val="0.71676296144800078"/>
        </c:manualLayout>
      </c:layout>
      <c:barChart>
        <c:barDir val="bar"/>
        <c:grouping val="percentStacked"/>
        <c:varyColors val="0"/>
        <c:ser>
          <c:idx val="1"/>
          <c:order val="0"/>
          <c:tx>
            <c:strRef>
              <c:f>[G1_4.xlsx]Estudios!$T$6</c:f>
              <c:strCache>
                <c:ptCount val="1"/>
                <c:pt idx="0">
                  <c:v>Analfabetos y sin estudios</c:v>
                </c:pt>
              </c:strCache>
            </c:strRef>
          </c:tx>
          <c:spPr>
            <a:solidFill>
              <a:srgbClr val="006265"/>
            </a:solidFill>
            <a:ln w="6350">
              <a:noFill/>
            </a:ln>
          </c:spPr>
          <c:invertIfNegative val="0"/>
          <c:dLbls>
            <c:dLbl>
              <c:idx val="3"/>
              <c:layout>
                <c:manualLayout>
                  <c:x val="1.5308237927314301E-2"/>
                  <c:y val="4.2608310324845757E-7"/>
                </c:manualLayout>
              </c:layout>
              <c:showLegendKey val="0"/>
              <c:showVal val="1"/>
              <c:showCatName val="0"/>
              <c:showSerName val="0"/>
              <c:showPercent val="0"/>
              <c:showBubbleSize val="0"/>
            </c:dLbl>
            <c:dLbl>
              <c:idx val="4"/>
              <c:layout>
                <c:manualLayout>
                  <c:x val="8.5207907293796872E-3"/>
                  <c:y val="0"/>
                </c:manualLayout>
              </c:layout>
              <c:showLegendKey val="0"/>
              <c:showVal val="1"/>
              <c:showCatName val="0"/>
              <c:showSerName val="0"/>
              <c:showPercent val="0"/>
              <c:showBubbleSize val="0"/>
            </c:dLbl>
            <c:numFmt formatCode="#,##0.0" sourceLinked="0"/>
            <c:txPr>
              <a:bodyPr/>
              <a:lstStyle/>
              <a:p>
                <a:pPr>
                  <a:defRPr>
                    <a:solidFill>
                      <a:schemeClr val="bg1"/>
                    </a:solidFill>
                  </a:defRPr>
                </a:pPr>
                <a:endParaRPr lang="es-ES"/>
              </a:p>
            </c:txPr>
            <c:showLegendKey val="0"/>
            <c:showVal val="1"/>
            <c:showCatName val="0"/>
            <c:showSerName val="0"/>
            <c:showPercent val="0"/>
            <c:showBubbleSize val="0"/>
            <c:showLeaderLines val="0"/>
          </c:dLbls>
          <c:cat>
            <c:strRef>
              <c:f>[G1_4.xlsx]Estudios!$M$8:$M$12</c:f>
              <c:strCache>
                <c:ptCount val="5"/>
                <c:pt idx="0">
                  <c:v>1980/81</c:v>
                </c:pt>
                <c:pt idx="1">
                  <c:v>1990/91</c:v>
                </c:pt>
                <c:pt idx="2">
                  <c:v>2000</c:v>
                </c:pt>
                <c:pt idx="3">
                  <c:v>2010</c:v>
                </c:pt>
                <c:pt idx="4">
                  <c:v>2017</c:v>
                </c:pt>
              </c:strCache>
            </c:strRef>
          </c:cat>
          <c:val>
            <c:numRef>
              <c:f>[G1_4.xlsx]Estudios!$T$8:$T$12</c:f>
              <c:numCache>
                <c:formatCode>0.00</c:formatCode>
                <c:ptCount val="5"/>
                <c:pt idx="0">
                  <c:v>32.273976286130342</c:v>
                </c:pt>
                <c:pt idx="1">
                  <c:v>25.851374986862702</c:v>
                </c:pt>
                <c:pt idx="2">
                  <c:v>14.793852086083803</c:v>
                </c:pt>
                <c:pt idx="3">
                  <c:v>1.8870650287366224</c:v>
                </c:pt>
                <c:pt idx="4">
                  <c:v>3.4549343507051464</c:v>
                </c:pt>
              </c:numCache>
            </c:numRef>
          </c:val>
        </c:ser>
        <c:ser>
          <c:idx val="0"/>
          <c:order val="1"/>
          <c:tx>
            <c:strRef>
              <c:f>[G1_4.xlsx]Estudios!$U$6</c:f>
              <c:strCache>
                <c:ptCount val="1"/>
                <c:pt idx="0">
                  <c:v>Primarios</c:v>
                </c:pt>
              </c:strCache>
            </c:strRef>
          </c:tx>
          <c:spPr>
            <a:solidFill>
              <a:srgbClr val="00A2A4"/>
            </a:solidFill>
            <a:ln w="6350">
              <a:noFill/>
            </a:ln>
          </c:spPr>
          <c:invertIfNegative val="0"/>
          <c:dLbls>
            <c:numFmt formatCode="#,##0.0" sourceLinked="0"/>
            <c:showLegendKey val="0"/>
            <c:showVal val="1"/>
            <c:showCatName val="0"/>
            <c:showSerName val="0"/>
            <c:showPercent val="0"/>
            <c:showBubbleSize val="0"/>
            <c:showLeaderLines val="0"/>
          </c:dLbls>
          <c:cat>
            <c:strRef>
              <c:f>[G1_4.xlsx]Estudios!$M$8:$M$12</c:f>
              <c:strCache>
                <c:ptCount val="5"/>
                <c:pt idx="0">
                  <c:v>1980/81</c:v>
                </c:pt>
                <c:pt idx="1">
                  <c:v>1990/91</c:v>
                </c:pt>
                <c:pt idx="2">
                  <c:v>2000</c:v>
                </c:pt>
                <c:pt idx="3">
                  <c:v>2010</c:v>
                </c:pt>
                <c:pt idx="4">
                  <c:v>2017</c:v>
                </c:pt>
              </c:strCache>
            </c:strRef>
          </c:cat>
          <c:val>
            <c:numRef>
              <c:f>[G1_4.xlsx]Estudios!$U$8:$U$12</c:f>
              <c:numCache>
                <c:formatCode>0.00</c:formatCode>
                <c:ptCount val="5"/>
                <c:pt idx="0">
                  <c:v>54.401805810181749</c:v>
                </c:pt>
                <c:pt idx="1">
                  <c:v>52.305705904665764</c:v>
                </c:pt>
                <c:pt idx="2">
                  <c:v>40.161894166557779</c:v>
                </c:pt>
                <c:pt idx="3">
                  <c:v>53.654420579375284</c:v>
                </c:pt>
                <c:pt idx="4">
                  <c:v>45.260247150350061</c:v>
                </c:pt>
              </c:numCache>
            </c:numRef>
          </c:val>
        </c:ser>
        <c:ser>
          <c:idx val="3"/>
          <c:order val="2"/>
          <c:tx>
            <c:strRef>
              <c:f>[G1_4.xlsx]Estudios!$V$6</c:f>
              <c:strCache>
                <c:ptCount val="1"/>
                <c:pt idx="0">
                  <c:v>Secundarios</c:v>
                </c:pt>
              </c:strCache>
            </c:strRef>
          </c:tx>
          <c:spPr>
            <a:solidFill>
              <a:srgbClr val="CED978"/>
            </a:solidFill>
            <a:ln w="6350">
              <a:noFill/>
            </a:ln>
          </c:spPr>
          <c:invertIfNegative val="0"/>
          <c:dLbls>
            <c:numFmt formatCode="#,##0.0" sourceLinked="0"/>
            <c:showLegendKey val="0"/>
            <c:showVal val="1"/>
            <c:showCatName val="0"/>
            <c:showSerName val="0"/>
            <c:showPercent val="0"/>
            <c:showBubbleSize val="0"/>
            <c:showLeaderLines val="0"/>
          </c:dLbls>
          <c:cat>
            <c:strRef>
              <c:f>[G1_4.xlsx]Estudios!$M$8:$M$12</c:f>
              <c:strCache>
                <c:ptCount val="5"/>
                <c:pt idx="0">
                  <c:v>1980/81</c:v>
                </c:pt>
                <c:pt idx="1">
                  <c:v>1990/91</c:v>
                </c:pt>
                <c:pt idx="2">
                  <c:v>2000</c:v>
                </c:pt>
                <c:pt idx="3">
                  <c:v>2010</c:v>
                </c:pt>
                <c:pt idx="4">
                  <c:v>2017</c:v>
                </c:pt>
              </c:strCache>
            </c:strRef>
          </c:cat>
          <c:val>
            <c:numRef>
              <c:f>[G1_4.xlsx]Estudios!$V$8:$V$12</c:f>
              <c:numCache>
                <c:formatCode>0.00</c:formatCode>
                <c:ptCount val="5"/>
                <c:pt idx="0">
                  <c:v>6.4211594320071157</c:v>
                </c:pt>
                <c:pt idx="1">
                  <c:v>12.61441141013537</c:v>
                </c:pt>
                <c:pt idx="2">
                  <c:v>30.110418086368281</c:v>
                </c:pt>
                <c:pt idx="3">
                  <c:v>24.543475136337996</c:v>
                </c:pt>
                <c:pt idx="4">
                  <c:v>27.758361806380183</c:v>
                </c:pt>
              </c:numCache>
            </c:numRef>
          </c:val>
        </c:ser>
        <c:ser>
          <c:idx val="4"/>
          <c:order val="3"/>
          <c:tx>
            <c:strRef>
              <c:f>[G1_4.xlsx]Estudios!$W$6</c:f>
              <c:strCache>
                <c:ptCount val="1"/>
                <c:pt idx="0">
                  <c:v>Superiores</c:v>
                </c:pt>
              </c:strCache>
            </c:strRef>
          </c:tx>
          <c:spPr>
            <a:solidFill>
              <a:srgbClr val="738A42"/>
            </a:solidFill>
            <a:ln w="6350">
              <a:noFill/>
            </a:ln>
          </c:spPr>
          <c:invertIfNegative val="0"/>
          <c:dLbls>
            <c:numFmt formatCode="#,##0.0" sourceLinked="0"/>
            <c:txPr>
              <a:bodyPr/>
              <a:lstStyle/>
              <a:p>
                <a:pPr>
                  <a:defRPr>
                    <a:solidFill>
                      <a:sysClr val="windowText" lastClr="000000"/>
                    </a:solidFill>
                  </a:defRPr>
                </a:pPr>
                <a:endParaRPr lang="es-ES"/>
              </a:p>
            </c:txPr>
            <c:showLegendKey val="0"/>
            <c:showVal val="1"/>
            <c:showCatName val="0"/>
            <c:showSerName val="0"/>
            <c:showPercent val="0"/>
            <c:showBubbleSize val="0"/>
            <c:showLeaderLines val="0"/>
          </c:dLbls>
          <c:cat>
            <c:strRef>
              <c:f>[G1_4.xlsx]Estudios!$M$8:$M$12</c:f>
              <c:strCache>
                <c:ptCount val="5"/>
                <c:pt idx="0">
                  <c:v>1980/81</c:v>
                </c:pt>
                <c:pt idx="1">
                  <c:v>1990/91</c:v>
                </c:pt>
                <c:pt idx="2">
                  <c:v>2000</c:v>
                </c:pt>
                <c:pt idx="3">
                  <c:v>2010</c:v>
                </c:pt>
                <c:pt idx="4">
                  <c:v>2017</c:v>
                </c:pt>
              </c:strCache>
            </c:strRef>
          </c:cat>
          <c:val>
            <c:numRef>
              <c:f>[G1_4.xlsx]Estudios!$W$8:$W$12</c:f>
              <c:numCache>
                <c:formatCode>0.00</c:formatCode>
                <c:ptCount val="5"/>
                <c:pt idx="0">
                  <c:v>6.9030584716805343</c:v>
                </c:pt>
                <c:pt idx="1">
                  <c:v>9.2285076983362639</c:v>
                </c:pt>
                <c:pt idx="2">
                  <c:v>14.933835660990082</c:v>
                </c:pt>
                <c:pt idx="3">
                  <c:v>19.915039255550091</c:v>
                </c:pt>
                <c:pt idx="4">
                  <c:v>23.526456692564611</c:v>
                </c:pt>
              </c:numCache>
            </c:numRef>
          </c:val>
        </c:ser>
        <c:dLbls>
          <c:showLegendKey val="0"/>
          <c:showVal val="0"/>
          <c:showCatName val="0"/>
          <c:showSerName val="0"/>
          <c:showPercent val="0"/>
          <c:showBubbleSize val="0"/>
        </c:dLbls>
        <c:gapWidth val="55"/>
        <c:overlap val="100"/>
        <c:axId val="386366848"/>
        <c:axId val="386389120"/>
      </c:barChart>
      <c:catAx>
        <c:axId val="386366848"/>
        <c:scaling>
          <c:orientation val="maxMin"/>
        </c:scaling>
        <c:delete val="0"/>
        <c:axPos val="l"/>
        <c:numFmt formatCode="General" sourceLinked="1"/>
        <c:majorTickMark val="none"/>
        <c:minorTickMark val="none"/>
        <c:tickLblPos val="low"/>
        <c:spPr>
          <a:ln w="3175">
            <a:noFill/>
            <a:prstDash val="solid"/>
          </a:ln>
        </c:spPr>
        <c:crossAx val="386389120"/>
        <c:crosses val="autoZero"/>
        <c:auto val="1"/>
        <c:lblAlgn val="ctr"/>
        <c:lblOffset val="100"/>
        <c:noMultiLvlLbl val="0"/>
      </c:catAx>
      <c:valAx>
        <c:axId val="386389120"/>
        <c:scaling>
          <c:orientation val="minMax"/>
        </c:scaling>
        <c:delete val="0"/>
        <c:axPos val="t"/>
        <c:majorGridlines>
          <c:spPr>
            <a:ln w="3175">
              <a:solidFill>
                <a:sysClr val="window" lastClr="FFFFFF">
                  <a:lumMod val="65000"/>
                </a:sysClr>
              </a:solidFill>
            </a:ln>
          </c:spPr>
        </c:majorGridlines>
        <c:numFmt formatCode="0%" sourceLinked="0"/>
        <c:majorTickMark val="none"/>
        <c:minorTickMark val="none"/>
        <c:tickLblPos val="high"/>
        <c:spPr>
          <a:ln w="3175">
            <a:noFill/>
          </a:ln>
        </c:spPr>
        <c:crossAx val="386366848"/>
        <c:crosses val="autoZero"/>
        <c:crossBetween val="between"/>
      </c:valAx>
      <c:spPr>
        <a:solidFill>
          <a:sysClr val="window" lastClr="FFFFFF"/>
        </a:solidFill>
        <a:ln w="9525">
          <a:solidFill>
            <a:sysClr val="window" lastClr="FFFFFF">
              <a:lumMod val="65000"/>
            </a:sysClr>
          </a:solidFill>
        </a:ln>
      </c:spPr>
    </c:plotArea>
    <c:legend>
      <c:legendPos val="b"/>
      <c:layout>
        <c:manualLayout>
          <c:xMode val="edge"/>
          <c:yMode val="edge"/>
          <c:x val="1.7041581458759374E-2"/>
          <c:y val="0.81905243160608188"/>
          <c:w val="0.92461381361072192"/>
          <c:h val="0.17999174153863678"/>
        </c:manualLayout>
      </c:layout>
      <c:overlay val="0"/>
    </c:legend>
    <c:plotVisOnly val="1"/>
    <c:dispBlanksAs val="zero"/>
    <c:showDLblsOverMax val="0"/>
  </c:chart>
  <c:spPr>
    <a:noFill/>
    <a:ln>
      <a:noFill/>
    </a:ln>
  </c:spPr>
  <c:txPr>
    <a:bodyPr/>
    <a:lstStyle/>
    <a:p>
      <a:pPr>
        <a:defRPr sz="600">
          <a:latin typeface="Arial" pitchFamily="34" charset="0"/>
          <a:ea typeface="Tahoma" pitchFamily="34" charset="0"/>
          <a:cs typeface="Arial" pitchFamily="34" charset="0"/>
        </a:defRPr>
      </a:pPr>
      <a:endParaRPr lang="es-E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79462463025455"/>
          <c:y val="6.3657407407407413E-2"/>
          <c:w val="0.78503110288297295"/>
          <c:h val="0.75967037521119563"/>
        </c:manualLayout>
      </c:layout>
      <c:barChart>
        <c:barDir val="bar"/>
        <c:grouping val="percentStacked"/>
        <c:varyColors val="0"/>
        <c:ser>
          <c:idx val="1"/>
          <c:order val="0"/>
          <c:tx>
            <c:strRef>
              <c:f>'[G1_5.xlsx]Clase social'!$T$8</c:f>
              <c:strCache>
                <c:ptCount val="1"/>
                <c:pt idx="0">
                  <c:v>Baja</c:v>
                </c:pt>
              </c:strCache>
            </c:strRef>
          </c:tx>
          <c:spPr>
            <a:solidFill>
              <a:srgbClr val="006265"/>
            </a:solidFill>
            <a:ln w="6350">
              <a:noFill/>
            </a:ln>
          </c:spPr>
          <c:invertIfNegative val="0"/>
          <c:dLbls>
            <c:dLbl>
              <c:idx val="3"/>
              <c:layout>
                <c:manualLayout>
                  <c:x val="1.2394133443503409E-2"/>
                  <c:y val="0"/>
                </c:manualLayout>
              </c:layout>
              <c:showLegendKey val="0"/>
              <c:showVal val="1"/>
              <c:showCatName val="0"/>
              <c:showSerName val="0"/>
              <c:showPercent val="0"/>
              <c:showBubbleSize val="0"/>
            </c:dLbl>
            <c:dLbl>
              <c:idx val="4"/>
              <c:layout>
                <c:manualLayout>
                  <c:x val="1.240079365079365E-2"/>
                  <c:y val="1.060944534001666E-16"/>
                </c:manualLayout>
              </c:layout>
              <c:showLegendKey val="0"/>
              <c:showVal val="1"/>
              <c:showCatName val="0"/>
              <c:showSerName val="0"/>
              <c:showPercent val="0"/>
              <c:showBubbleSize val="0"/>
            </c:dLbl>
            <c:numFmt formatCode="#,##0.0" sourceLinked="0"/>
            <c:txPr>
              <a:bodyPr/>
              <a:lstStyle/>
              <a:p>
                <a:pPr>
                  <a:defRPr>
                    <a:solidFill>
                      <a:schemeClr val="bg1"/>
                    </a:solidFill>
                  </a:defRPr>
                </a:pPr>
                <a:endParaRPr lang="es-ES"/>
              </a:p>
            </c:txPr>
            <c:showLegendKey val="0"/>
            <c:showVal val="1"/>
            <c:showCatName val="0"/>
            <c:showSerName val="0"/>
            <c:showPercent val="0"/>
            <c:showBubbleSize val="0"/>
            <c:showLeaderLines val="0"/>
          </c:dLbls>
          <c:cat>
            <c:strRef>
              <c:f>'[G1_5.xlsx]Clase social'!$L$11:$L$15</c:f>
              <c:strCache>
                <c:ptCount val="5"/>
                <c:pt idx="0">
                  <c:v>1980/81</c:v>
                </c:pt>
                <c:pt idx="1">
                  <c:v>1990/91</c:v>
                </c:pt>
                <c:pt idx="2">
                  <c:v>2000</c:v>
                </c:pt>
                <c:pt idx="3">
                  <c:v>2010</c:v>
                </c:pt>
                <c:pt idx="4">
                  <c:v>2017</c:v>
                </c:pt>
              </c:strCache>
            </c:strRef>
          </c:cat>
          <c:val>
            <c:numRef>
              <c:f>'[G1_5.xlsx]Clase social'!$T$11:$T$15</c:f>
              <c:numCache>
                <c:formatCode>0.00</c:formatCode>
                <c:ptCount val="5"/>
                <c:pt idx="0">
                  <c:v>25.913186432415475</c:v>
                </c:pt>
                <c:pt idx="1">
                  <c:v>22.634307781580336</c:v>
                </c:pt>
                <c:pt idx="2">
                  <c:v>13.799306385907025</c:v>
                </c:pt>
                <c:pt idx="3">
                  <c:v>2.8964513581205216</c:v>
                </c:pt>
                <c:pt idx="4">
                  <c:v>3.0988999508819348</c:v>
                </c:pt>
              </c:numCache>
            </c:numRef>
          </c:val>
        </c:ser>
        <c:ser>
          <c:idx val="0"/>
          <c:order val="1"/>
          <c:tx>
            <c:strRef>
              <c:f>'[G1_5.xlsx]Clase social'!$U$8</c:f>
              <c:strCache>
                <c:ptCount val="1"/>
                <c:pt idx="0">
                  <c:v>Media-baja</c:v>
                </c:pt>
              </c:strCache>
            </c:strRef>
          </c:tx>
          <c:spPr>
            <a:solidFill>
              <a:srgbClr val="00A2A4"/>
            </a:solidFill>
            <a:ln w="6350">
              <a:noFill/>
            </a:ln>
          </c:spPr>
          <c:invertIfNegative val="0"/>
          <c:dLbls>
            <c:numFmt formatCode="#,##0.0" sourceLinked="0"/>
            <c:showLegendKey val="0"/>
            <c:showVal val="1"/>
            <c:showCatName val="0"/>
            <c:showSerName val="0"/>
            <c:showPercent val="0"/>
            <c:showBubbleSize val="0"/>
            <c:showLeaderLines val="0"/>
          </c:dLbls>
          <c:cat>
            <c:strRef>
              <c:f>'[G1_5.xlsx]Clase social'!$L$11:$L$15</c:f>
              <c:strCache>
                <c:ptCount val="5"/>
                <c:pt idx="0">
                  <c:v>1980/81</c:v>
                </c:pt>
                <c:pt idx="1">
                  <c:v>1990/91</c:v>
                </c:pt>
                <c:pt idx="2">
                  <c:v>2000</c:v>
                </c:pt>
                <c:pt idx="3">
                  <c:v>2010</c:v>
                </c:pt>
                <c:pt idx="4">
                  <c:v>2017</c:v>
                </c:pt>
              </c:strCache>
            </c:strRef>
          </c:cat>
          <c:val>
            <c:numRef>
              <c:f>'[G1_5.xlsx]Clase social'!$U$11:$U$15</c:f>
              <c:numCache>
                <c:formatCode>0.00</c:formatCode>
                <c:ptCount val="5"/>
                <c:pt idx="0">
                  <c:v>45.370681495473022</c:v>
                </c:pt>
                <c:pt idx="1">
                  <c:v>47.68207136813119</c:v>
                </c:pt>
                <c:pt idx="2">
                  <c:v>35.867419468682598</c:v>
                </c:pt>
                <c:pt idx="3">
                  <c:v>25.687374520980725</c:v>
                </c:pt>
                <c:pt idx="4">
                  <c:v>22.812351435138254</c:v>
                </c:pt>
              </c:numCache>
            </c:numRef>
          </c:val>
        </c:ser>
        <c:ser>
          <c:idx val="3"/>
          <c:order val="2"/>
          <c:tx>
            <c:strRef>
              <c:f>'[G1_5.xlsx]Clase social'!$V$8</c:f>
              <c:strCache>
                <c:ptCount val="1"/>
                <c:pt idx="0">
                  <c:v>Media</c:v>
                </c:pt>
              </c:strCache>
            </c:strRef>
          </c:tx>
          <c:spPr>
            <a:solidFill>
              <a:srgbClr val="64C8B9"/>
            </a:solidFill>
            <a:ln w="6350">
              <a:noFill/>
            </a:ln>
          </c:spPr>
          <c:invertIfNegative val="0"/>
          <c:dLbls>
            <c:numFmt formatCode="#,##0.0" sourceLinked="0"/>
            <c:showLegendKey val="0"/>
            <c:showVal val="1"/>
            <c:showCatName val="0"/>
            <c:showSerName val="0"/>
            <c:showPercent val="0"/>
            <c:showBubbleSize val="0"/>
            <c:showLeaderLines val="0"/>
          </c:dLbls>
          <c:cat>
            <c:strRef>
              <c:f>'[G1_5.xlsx]Clase social'!$L$11:$L$15</c:f>
              <c:strCache>
                <c:ptCount val="5"/>
                <c:pt idx="0">
                  <c:v>1980/81</c:v>
                </c:pt>
                <c:pt idx="1">
                  <c:v>1990/91</c:v>
                </c:pt>
                <c:pt idx="2">
                  <c:v>2000</c:v>
                </c:pt>
                <c:pt idx="3">
                  <c:v>2010</c:v>
                </c:pt>
                <c:pt idx="4">
                  <c:v>2017</c:v>
                </c:pt>
              </c:strCache>
            </c:strRef>
          </c:cat>
          <c:val>
            <c:numRef>
              <c:f>'[G1_5.xlsx]Clase social'!$V$11:$V$15</c:f>
              <c:numCache>
                <c:formatCode>0.00</c:formatCode>
                <c:ptCount val="5"/>
                <c:pt idx="0">
                  <c:v>18.571365053720374</c:v>
                </c:pt>
                <c:pt idx="1">
                  <c:v>19.143219265747611</c:v>
                </c:pt>
                <c:pt idx="2">
                  <c:v>30.744076348903278</c:v>
                </c:pt>
                <c:pt idx="3">
                  <c:v>42.006595413022069</c:v>
                </c:pt>
                <c:pt idx="4">
                  <c:v>44.099671482088063</c:v>
                </c:pt>
              </c:numCache>
            </c:numRef>
          </c:val>
        </c:ser>
        <c:ser>
          <c:idx val="4"/>
          <c:order val="3"/>
          <c:tx>
            <c:strRef>
              <c:f>'[G1_5.xlsx]Clase social'!$W$8</c:f>
              <c:strCache>
                <c:ptCount val="1"/>
                <c:pt idx="0">
                  <c:v>Media-alta</c:v>
                </c:pt>
              </c:strCache>
            </c:strRef>
          </c:tx>
          <c:spPr>
            <a:solidFill>
              <a:srgbClr val="CED978"/>
            </a:solidFill>
            <a:ln w="6350">
              <a:noFill/>
            </a:ln>
          </c:spPr>
          <c:invertIfNegative val="0"/>
          <c:dLbls>
            <c:dLbl>
              <c:idx val="0"/>
              <c:layout>
                <c:manualLayout>
                  <c:x val="-8.2671957671959194E-3"/>
                  <c:y val="0"/>
                </c:manualLayout>
              </c:layout>
              <c:showLegendKey val="0"/>
              <c:showVal val="1"/>
              <c:showCatName val="0"/>
              <c:showSerName val="0"/>
              <c:showPercent val="0"/>
              <c:showBubbleSize val="0"/>
            </c:dLbl>
            <c:dLbl>
              <c:idx val="1"/>
              <c:layout>
                <c:manualLayout>
                  <c:x val="-8.2671957671959194E-3"/>
                  <c:y val="0"/>
                </c:manualLayout>
              </c:layout>
              <c:showLegendKey val="0"/>
              <c:showVal val="1"/>
              <c:showCatName val="0"/>
              <c:showSerName val="0"/>
              <c:showPercent val="0"/>
              <c:showBubbleSize val="0"/>
            </c:dLbl>
            <c:numFmt formatCode="#,##0.0" sourceLinked="0"/>
            <c:showLegendKey val="0"/>
            <c:showVal val="1"/>
            <c:showCatName val="0"/>
            <c:showSerName val="0"/>
            <c:showPercent val="0"/>
            <c:showBubbleSize val="0"/>
            <c:showLeaderLines val="0"/>
          </c:dLbls>
          <c:cat>
            <c:strRef>
              <c:f>'[G1_5.xlsx]Clase social'!$L$11:$L$15</c:f>
              <c:strCache>
                <c:ptCount val="5"/>
                <c:pt idx="0">
                  <c:v>1980/81</c:v>
                </c:pt>
                <c:pt idx="1">
                  <c:v>1990/91</c:v>
                </c:pt>
                <c:pt idx="2">
                  <c:v>2000</c:v>
                </c:pt>
                <c:pt idx="3">
                  <c:v>2010</c:v>
                </c:pt>
                <c:pt idx="4">
                  <c:v>2017</c:v>
                </c:pt>
              </c:strCache>
            </c:strRef>
          </c:cat>
          <c:val>
            <c:numRef>
              <c:f>'[G1_5.xlsx]Clase social'!$W$11:$W$15</c:f>
              <c:numCache>
                <c:formatCode>0.00</c:formatCode>
                <c:ptCount val="5"/>
                <c:pt idx="0">
                  <c:v>6.9551399476904212</c:v>
                </c:pt>
                <c:pt idx="1">
                  <c:v>7.3977997460902261</c:v>
                </c:pt>
                <c:pt idx="2">
                  <c:v>12.413358396277802</c:v>
                </c:pt>
                <c:pt idx="3">
                  <c:v>16.548971049371858</c:v>
                </c:pt>
                <c:pt idx="4">
                  <c:v>13.893044481153503</c:v>
                </c:pt>
              </c:numCache>
            </c:numRef>
          </c:val>
        </c:ser>
        <c:ser>
          <c:idx val="5"/>
          <c:order val="4"/>
          <c:tx>
            <c:strRef>
              <c:f>'[G1_5.xlsx]Clase social'!$X$8</c:f>
              <c:strCache>
                <c:ptCount val="1"/>
                <c:pt idx="0">
                  <c:v>Alta</c:v>
                </c:pt>
              </c:strCache>
            </c:strRef>
          </c:tx>
          <c:spPr>
            <a:solidFill>
              <a:srgbClr val="738A42"/>
            </a:solidFill>
            <a:ln w="6350">
              <a:noFill/>
            </a:ln>
          </c:spPr>
          <c:invertIfNegative val="0"/>
          <c:dLbls>
            <c:numFmt formatCode="#,##0.0" sourceLinked="0"/>
            <c:txPr>
              <a:bodyPr/>
              <a:lstStyle/>
              <a:p>
                <a:pPr>
                  <a:defRPr>
                    <a:solidFill>
                      <a:sysClr val="windowText" lastClr="000000"/>
                    </a:solidFill>
                  </a:defRPr>
                </a:pPr>
                <a:endParaRPr lang="es-ES"/>
              </a:p>
            </c:txPr>
            <c:showLegendKey val="0"/>
            <c:showVal val="1"/>
            <c:showCatName val="0"/>
            <c:showSerName val="0"/>
            <c:showPercent val="0"/>
            <c:showBubbleSize val="0"/>
            <c:showLeaderLines val="0"/>
          </c:dLbls>
          <c:cat>
            <c:strRef>
              <c:f>'[G1_5.xlsx]Clase social'!$L$11:$L$15</c:f>
              <c:strCache>
                <c:ptCount val="5"/>
                <c:pt idx="0">
                  <c:v>1980/81</c:v>
                </c:pt>
                <c:pt idx="1">
                  <c:v>1990/91</c:v>
                </c:pt>
                <c:pt idx="2">
                  <c:v>2000</c:v>
                </c:pt>
                <c:pt idx="3">
                  <c:v>2010</c:v>
                </c:pt>
                <c:pt idx="4">
                  <c:v>2017</c:v>
                </c:pt>
              </c:strCache>
            </c:strRef>
          </c:cat>
          <c:val>
            <c:numRef>
              <c:f>'[G1_5.xlsx]Clase social'!$X$11:$X$15</c:f>
              <c:numCache>
                <c:formatCode>0.00</c:formatCode>
                <c:ptCount val="5"/>
                <c:pt idx="0">
                  <c:v>3.1896270707002441</c:v>
                </c:pt>
                <c:pt idx="1">
                  <c:v>3.1426018384505587</c:v>
                </c:pt>
                <c:pt idx="2">
                  <c:v>7.1758394002292656</c:v>
                </c:pt>
                <c:pt idx="3">
                  <c:v>12.860607658504824</c:v>
                </c:pt>
                <c:pt idx="4">
                  <c:v>16.096032650738255</c:v>
                </c:pt>
              </c:numCache>
            </c:numRef>
          </c:val>
        </c:ser>
        <c:dLbls>
          <c:showLegendKey val="0"/>
          <c:showVal val="0"/>
          <c:showCatName val="0"/>
          <c:showSerName val="0"/>
          <c:showPercent val="0"/>
          <c:showBubbleSize val="0"/>
        </c:dLbls>
        <c:gapWidth val="55"/>
        <c:overlap val="100"/>
        <c:axId val="386422656"/>
        <c:axId val="386424192"/>
      </c:barChart>
      <c:catAx>
        <c:axId val="386422656"/>
        <c:scaling>
          <c:orientation val="maxMin"/>
        </c:scaling>
        <c:delete val="0"/>
        <c:axPos val="l"/>
        <c:numFmt formatCode="General" sourceLinked="1"/>
        <c:majorTickMark val="none"/>
        <c:minorTickMark val="none"/>
        <c:tickLblPos val="low"/>
        <c:spPr>
          <a:ln w="3175">
            <a:noFill/>
            <a:prstDash val="solid"/>
          </a:ln>
        </c:spPr>
        <c:crossAx val="386424192"/>
        <c:crosses val="autoZero"/>
        <c:auto val="1"/>
        <c:lblAlgn val="ctr"/>
        <c:lblOffset val="100"/>
        <c:noMultiLvlLbl val="0"/>
      </c:catAx>
      <c:valAx>
        <c:axId val="386424192"/>
        <c:scaling>
          <c:orientation val="minMax"/>
        </c:scaling>
        <c:delete val="0"/>
        <c:axPos val="t"/>
        <c:majorGridlines>
          <c:spPr>
            <a:ln w="3175">
              <a:solidFill>
                <a:sysClr val="window" lastClr="FFFFFF">
                  <a:lumMod val="65000"/>
                </a:sysClr>
              </a:solidFill>
            </a:ln>
          </c:spPr>
        </c:majorGridlines>
        <c:numFmt formatCode="0%" sourceLinked="0"/>
        <c:majorTickMark val="none"/>
        <c:minorTickMark val="none"/>
        <c:tickLblPos val="high"/>
        <c:spPr>
          <a:ln w="3175">
            <a:noFill/>
          </a:ln>
        </c:spPr>
        <c:crossAx val="386422656"/>
        <c:crosses val="autoZero"/>
        <c:crossBetween val="between"/>
      </c:valAx>
      <c:spPr>
        <a:solidFill>
          <a:sysClr val="window" lastClr="FFFFFF"/>
        </a:solidFill>
        <a:ln w="9525">
          <a:solidFill>
            <a:sysClr val="window" lastClr="FFFFFF">
              <a:lumMod val="65000"/>
            </a:sysClr>
          </a:solidFill>
        </a:ln>
      </c:spPr>
    </c:plotArea>
    <c:legend>
      <c:legendPos val="b"/>
      <c:layout>
        <c:manualLayout>
          <c:xMode val="edge"/>
          <c:yMode val="edge"/>
          <c:x val="6.2726176115802168E-2"/>
          <c:y val="0.91853887923992072"/>
          <c:w val="0.9"/>
          <c:h val="6.5464930555555551E-2"/>
        </c:manualLayout>
      </c:layout>
      <c:overlay val="0"/>
    </c:legend>
    <c:plotVisOnly val="1"/>
    <c:dispBlanksAs val="zero"/>
    <c:showDLblsOverMax val="0"/>
  </c:chart>
  <c:spPr>
    <a:noFill/>
    <a:ln>
      <a:noFill/>
    </a:ln>
  </c:spPr>
  <c:txPr>
    <a:bodyPr/>
    <a:lstStyle/>
    <a:p>
      <a:pPr>
        <a:defRPr sz="600">
          <a:latin typeface="Arial" pitchFamily="34" charset="0"/>
          <a:ea typeface="Tahoma" pitchFamily="34" charset="0"/>
          <a:cs typeface="Arial" pitchFamily="34" charset="0"/>
        </a:defRPr>
      </a:pPr>
      <a:endParaRPr lang="es-E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6563986928892692"/>
          <c:y val="4.2471042471042469E-2"/>
          <c:w val="0.5023540051368004"/>
          <c:h val="0.87929863496792626"/>
        </c:manualLayout>
      </c:layout>
      <c:barChart>
        <c:barDir val="bar"/>
        <c:grouping val="clustered"/>
        <c:varyColors val="0"/>
        <c:ser>
          <c:idx val="1"/>
          <c:order val="0"/>
          <c:spPr>
            <a:solidFill>
              <a:srgbClr val="00A2A4"/>
            </a:solidFill>
            <a:ln w="6350">
              <a:noFill/>
            </a:ln>
          </c:spPr>
          <c:invertIfNegative val="0"/>
          <c:dPt>
            <c:idx val="6"/>
            <c:invertIfNegative val="0"/>
            <c:bubble3D val="0"/>
            <c:spPr>
              <a:solidFill>
                <a:srgbClr val="006265"/>
              </a:solidFill>
              <a:ln w="6350">
                <a:noFill/>
              </a:ln>
            </c:spPr>
          </c:dPt>
          <c:dLbls>
            <c:showLegendKey val="0"/>
            <c:showVal val="1"/>
            <c:showCatName val="0"/>
            <c:showSerName val="0"/>
            <c:showPercent val="0"/>
            <c:showBubbleSize val="0"/>
            <c:showLeaderLines val="0"/>
          </c:dLbls>
          <c:cat>
            <c:strRef>
              <c:f>[G3_8.xlsx]ConstantesGrupos!$O$71:$O$83</c:f>
              <c:strCache>
                <c:ptCount val="13"/>
                <c:pt idx="0">
                  <c:v>5. Mobiliario y equipamiento hogar </c:v>
                </c:pt>
                <c:pt idx="1">
                  <c:v>3. Artículos vestir y calzado </c:v>
                </c:pt>
                <c:pt idx="2">
                  <c:v>7. Transportes </c:v>
                </c:pt>
                <c:pt idx="3">
                  <c:v>9. Ocio, espectáculos y cultura </c:v>
                </c:pt>
                <c:pt idx="4">
                  <c:v>11. Hoteles, cafés y restaurantes </c:v>
                </c:pt>
                <c:pt idx="5">
                  <c:v>12. Otros bienes y servicios </c:v>
                </c:pt>
                <c:pt idx="6">
                  <c:v>Total</c:v>
                </c:pt>
                <c:pt idx="7">
                  <c:v>1. Alimentos, bebidas no alcohólicas </c:v>
                </c:pt>
                <c:pt idx="8">
                  <c:v>8. Comunicaciones </c:v>
                </c:pt>
                <c:pt idx="9">
                  <c:v>2. Bebidas alcohólicas, tabaco </c:v>
                </c:pt>
                <c:pt idx="10">
                  <c:v>6. Salud </c:v>
                </c:pt>
                <c:pt idx="11">
                  <c:v>4. Vivienda, agua y electricidad </c:v>
                </c:pt>
                <c:pt idx="12">
                  <c:v>10. Enseñanza </c:v>
                </c:pt>
              </c:strCache>
            </c:strRef>
          </c:cat>
          <c:val>
            <c:numRef>
              <c:f>[G3_8.xlsx]ConstantesGrupos!$P$71:$P$83</c:f>
              <c:numCache>
                <c:formatCode>0.0</c:formatCode>
                <c:ptCount val="13"/>
                <c:pt idx="0">
                  <c:v>-44.271218377908774</c:v>
                </c:pt>
                <c:pt idx="1">
                  <c:v>-42.817598113536881</c:v>
                </c:pt>
                <c:pt idx="2">
                  <c:v>-39.103251132338414</c:v>
                </c:pt>
                <c:pt idx="3">
                  <c:v>-35.674840445680871</c:v>
                </c:pt>
                <c:pt idx="4">
                  <c:v>-34.884308409207648</c:v>
                </c:pt>
                <c:pt idx="5">
                  <c:v>-25.211896292686134</c:v>
                </c:pt>
                <c:pt idx="6">
                  <c:v>-21.795848878119529</c:v>
                </c:pt>
                <c:pt idx="7">
                  <c:v>-17.057230336508169</c:v>
                </c:pt>
                <c:pt idx="8">
                  <c:v>-16.787907686603688</c:v>
                </c:pt>
                <c:pt idx="9">
                  <c:v>-16.738709334661635</c:v>
                </c:pt>
                <c:pt idx="10">
                  <c:v>-13.440436123840442</c:v>
                </c:pt>
                <c:pt idx="11">
                  <c:v>3.7998695337896606</c:v>
                </c:pt>
                <c:pt idx="12">
                  <c:v>13.589952382832564</c:v>
                </c:pt>
              </c:numCache>
            </c:numRef>
          </c:val>
        </c:ser>
        <c:dLbls>
          <c:showLegendKey val="0"/>
          <c:showVal val="0"/>
          <c:showCatName val="0"/>
          <c:showSerName val="0"/>
          <c:showPercent val="0"/>
          <c:showBubbleSize val="0"/>
        </c:dLbls>
        <c:gapWidth val="58"/>
        <c:axId val="386670592"/>
        <c:axId val="386672128"/>
      </c:barChart>
      <c:catAx>
        <c:axId val="386670592"/>
        <c:scaling>
          <c:orientation val="maxMin"/>
        </c:scaling>
        <c:delete val="0"/>
        <c:axPos val="l"/>
        <c:numFmt formatCode="General" sourceLinked="1"/>
        <c:majorTickMark val="none"/>
        <c:minorTickMark val="none"/>
        <c:tickLblPos val="low"/>
        <c:spPr>
          <a:ln w="3175">
            <a:solidFill>
              <a:sysClr val="window" lastClr="FFFFFF">
                <a:lumMod val="65000"/>
              </a:sysClr>
            </a:solidFill>
            <a:prstDash val="solid"/>
          </a:ln>
        </c:spPr>
        <c:crossAx val="386672128"/>
        <c:crosses val="autoZero"/>
        <c:auto val="1"/>
        <c:lblAlgn val="ctr"/>
        <c:lblOffset val="100"/>
        <c:noMultiLvlLbl val="0"/>
      </c:catAx>
      <c:valAx>
        <c:axId val="386672128"/>
        <c:scaling>
          <c:orientation val="minMax"/>
        </c:scaling>
        <c:delete val="0"/>
        <c:axPos val="t"/>
        <c:majorGridlines>
          <c:spPr>
            <a:ln w="3175">
              <a:solidFill>
                <a:sysClr val="window" lastClr="FFFFFF">
                  <a:lumMod val="65000"/>
                </a:sysClr>
              </a:solidFill>
            </a:ln>
          </c:spPr>
        </c:majorGridlines>
        <c:numFmt formatCode="General" sourceLinked="0"/>
        <c:majorTickMark val="none"/>
        <c:minorTickMark val="none"/>
        <c:tickLblPos val="high"/>
        <c:spPr>
          <a:ln w="9525">
            <a:solidFill>
              <a:sysClr val="window" lastClr="FFFFFF">
                <a:lumMod val="65000"/>
              </a:sysClr>
            </a:solidFill>
          </a:ln>
        </c:spPr>
        <c:crossAx val="386670592"/>
        <c:crosses val="autoZero"/>
        <c:crossBetween val="between"/>
      </c:valAx>
      <c:spPr>
        <a:solidFill>
          <a:sysClr val="window" lastClr="FFFFFF"/>
        </a:solidFill>
        <a:ln w="9525">
          <a:solidFill>
            <a:sysClr val="window" lastClr="FFFFFF">
              <a:lumMod val="65000"/>
            </a:sysClr>
          </a:solidFill>
        </a:ln>
      </c:spPr>
    </c:plotArea>
    <c:plotVisOnly val="1"/>
    <c:dispBlanksAs val="zero"/>
    <c:showDLblsOverMax val="0"/>
  </c:chart>
  <c:spPr>
    <a:noFill/>
    <a:ln>
      <a:noFill/>
    </a:ln>
  </c:spPr>
  <c:txPr>
    <a:bodyPr/>
    <a:lstStyle/>
    <a:p>
      <a:pPr>
        <a:defRPr sz="800">
          <a:latin typeface="Arial" pitchFamily="34" charset="0"/>
          <a:ea typeface="Tahoma" pitchFamily="34" charset="0"/>
          <a:cs typeface="Arial" pitchFamily="34" charset="0"/>
        </a:defRPr>
      </a:pPr>
      <a:endParaRPr lang="es-E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1"/>
          <c:order val="0"/>
          <c:spPr>
            <a:solidFill>
              <a:srgbClr val="00A2A4"/>
            </a:solidFill>
            <a:ln w="6350">
              <a:noFill/>
            </a:ln>
          </c:spPr>
          <c:invertIfNegative val="0"/>
          <c:dPt>
            <c:idx val="4"/>
            <c:invertIfNegative val="0"/>
            <c:bubble3D val="0"/>
            <c:spPr>
              <a:solidFill>
                <a:srgbClr val="006265"/>
              </a:solidFill>
              <a:ln w="6350">
                <a:noFill/>
              </a:ln>
            </c:spPr>
          </c:dPt>
          <c:dPt>
            <c:idx val="6"/>
            <c:invertIfNegative val="0"/>
            <c:bubble3D val="0"/>
          </c:dPt>
          <c:dLbls>
            <c:numFmt formatCode="#,##0.0" sourceLinked="0"/>
            <c:showLegendKey val="0"/>
            <c:showVal val="1"/>
            <c:showCatName val="0"/>
            <c:showSerName val="0"/>
            <c:showPercent val="0"/>
            <c:showBubbleSize val="0"/>
            <c:showLeaderLines val="0"/>
          </c:dLbls>
          <c:cat>
            <c:strRef>
              <c:f>[G3_17.xlsx]ConstantesGrupos!$O$87:$O$99</c:f>
              <c:strCache>
                <c:ptCount val="13"/>
                <c:pt idx="0">
                  <c:v>4. Vivienda, agua y electricidad </c:v>
                </c:pt>
                <c:pt idx="1">
                  <c:v>1. Alimentos, bebidas no alcohólicas </c:v>
                </c:pt>
                <c:pt idx="2">
                  <c:v>2. Bebidas alcohólicas, tabaco </c:v>
                </c:pt>
                <c:pt idx="3">
                  <c:v>9. Ocio, espectáculos y cultura </c:v>
                </c:pt>
                <c:pt idx="4">
                  <c:v>Total</c:v>
                </c:pt>
                <c:pt idx="5">
                  <c:v>3. Artículos vestir y calzado </c:v>
                </c:pt>
                <c:pt idx="6">
                  <c:v>12. Otros bienes y servicios </c:v>
                </c:pt>
                <c:pt idx="7">
                  <c:v>5. Mobiliario y equipamiento hogar </c:v>
                </c:pt>
                <c:pt idx="8">
                  <c:v>8. Comunicaciones </c:v>
                </c:pt>
                <c:pt idx="9">
                  <c:v>6. Salud </c:v>
                </c:pt>
                <c:pt idx="10">
                  <c:v>7. Transportes </c:v>
                </c:pt>
                <c:pt idx="11">
                  <c:v>10. Enseñanza </c:v>
                </c:pt>
                <c:pt idx="12">
                  <c:v>11. Hoteles, cafés y restaurantes </c:v>
                </c:pt>
              </c:strCache>
            </c:strRef>
          </c:cat>
          <c:val>
            <c:numRef>
              <c:f>[G3_17.xlsx]ConstantesGrupos!$P$87:$P$99</c:f>
              <c:numCache>
                <c:formatCode>0.00</c:formatCode>
                <c:ptCount val="13"/>
                <c:pt idx="0">
                  <c:v>-4.0264141844427712</c:v>
                </c:pt>
                <c:pt idx="1">
                  <c:v>-1.3124875321666423</c:v>
                </c:pt>
                <c:pt idx="2">
                  <c:v>-1.1288788819146447</c:v>
                </c:pt>
                <c:pt idx="3">
                  <c:v>3.9874666019577774</c:v>
                </c:pt>
                <c:pt idx="4">
                  <c:v>4.5125257725086527</c:v>
                </c:pt>
                <c:pt idx="5">
                  <c:v>5.9002993021781336</c:v>
                </c:pt>
                <c:pt idx="6">
                  <c:v>6.4424487021463648</c:v>
                </c:pt>
                <c:pt idx="7">
                  <c:v>8.0711917255353427</c:v>
                </c:pt>
                <c:pt idx="8">
                  <c:v>9.0562434277378259</c:v>
                </c:pt>
                <c:pt idx="9">
                  <c:v>9.2322064303573796</c:v>
                </c:pt>
                <c:pt idx="10">
                  <c:v>9.3769766532310967</c:v>
                </c:pt>
                <c:pt idx="11">
                  <c:v>14.522757057712838</c:v>
                </c:pt>
                <c:pt idx="12">
                  <c:v>20.184121834989256</c:v>
                </c:pt>
              </c:numCache>
            </c:numRef>
          </c:val>
        </c:ser>
        <c:dLbls>
          <c:showLegendKey val="0"/>
          <c:showVal val="0"/>
          <c:showCatName val="0"/>
          <c:showSerName val="0"/>
          <c:showPercent val="0"/>
          <c:showBubbleSize val="0"/>
        </c:dLbls>
        <c:gapWidth val="58"/>
        <c:axId val="388642304"/>
        <c:axId val="388643840"/>
      </c:barChart>
      <c:catAx>
        <c:axId val="388642304"/>
        <c:scaling>
          <c:orientation val="maxMin"/>
        </c:scaling>
        <c:delete val="0"/>
        <c:axPos val="l"/>
        <c:numFmt formatCode="General" sourceLinked="1"/>
        <c:majorTickMark val="none"/>
        <c:minorTickMark val="none"/>
        <c:tickLblPos val="low"/>
        <c:spPr>
          <a:ln w="3175">
            <a:solidFill>
              <a:sysClr val="window" lastClr="FFFFFF">
                <a:lumMod val="65000"/>
              </a:sysClr>
            </a:solidFill>
            <a:prstDash val="solid"/>
          </a:ln>
        </c:spPr>
        <c:crossAx val="388643840"/>
        <c:crosses val="autoZero"/>
        <c:auto val="1"/>
        <c:lblAlgn val="ctr"/>
        <c:lblOffset val="100"/>
        <c:noMultiLvlLbl val="0"/>
      </c:catAx>
      <c:valAx>
        <c:axId val="388643840"/>
        <c:scaling>
          <c:orientation val="minMax"/>
        </c:scaling>
        <c:delete val="0"/>
        <c:axPos val="t"/>
        <c:majorGridlines>
          <c:spPr>
            <a:ln w="3175">
              <a:solidFill>
                <a:sysClr val="window" lastClr="FFFFFF">
                  <a:lumMod val="65000"/>
                </a:sysClr>
              </a:solidFill>
            </a:ln>
          </c:spPr>
        </c:majorGridlines>
        <c:numFmt formatCode="General" sourceLinked="0"/>
        <c:majorTickMark val="none"/>
        <c:minorTickMark val="none"/>
        <c:tickLblPos val="high"/>
        <c:spPr>
          <a:ln w="9525">
            <a:solidFill>
              <a:sysClr val="window" lastClr="FFFFFF">
                <a:lumMod val="65000"/>
              </a:sysClr>
            </a:solidFill>
          </a:ln>
        </c:spPr>
        <c:crossAx val="388642304"/>
        <c:crosses val="autoZero"/>
        <c:crossBetween val="between"/>
      </c:valAx>
      <c:spPr>
        <a:solidFill>
          <a:sysClr val="window" lastClr="FFFFFF"/>
        </a:solidFill>
        <a:ln w="9525">
          <a:solidFill>
            <a:sysClr val="window" lastClr="FFFFFF">
              <a:lumMod val="65000"/>
            </a:sysClr>
          </a:solidFill>
        </a:ln>
      </c:spPr>
    </c:plotArea>
    <c:plotVisOnly val="1"/>
    <c:dispBlanksAs val="zero"/>
    <c:showDLblsOverMax val="0"/>
  </c:chart>
  <c:spPr>
    <a:noFill/>
    <a:ln>
      <a:noFill/>
    </a:ln>
  </c:spPr>
  <c:txPr>
    <a:bodyPr/>
    <a:lstStyle/>
    <a:p>
      <a:pPr>
        <a:defRPr sz="800">
          <a:latin typeface="Arial" pitchFamily="34" charset="0"/>
          <a:ea typeface="Tahoma" pitchFamily="34" charset="0"/>
          <a:cs typeface="Arial" pitchFamily="34" charset="0"/>
        </a:defRPr>
      </a:pPr>
      <a:endParaRPr lang="es-ES"/>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8676D-595E-4FD5-B6E0-19D0A2566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1324</Words>
  <Characters>7283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Jover</dc:creator>
  <cp:lastModifiedBy>Ivie</cp:lastModifiedBy>
  <cp:revision>2</cp:revision>
  <cp:lastPrinted>2019-06-18T11:02:00Z</cp:lastPrinted>
  <dcterms:created xsi:type="dcterms:W3CDTF">2019-06-26T12:52:00Z</dcterms:created>
  <dcterms:modified xsi:type="dcterms:W3CDTF">2019-06-26T12:52:00Z</dcterms:modified>
</cp:coreProperties>
</file>