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FAE7D" w14:textId="42963F03" w:rsidR="00B01D0F" w:rsidRDefault="00B01D0F" w:rsidP="00A02B74">
      <w:pPr>
        <w:shd w:val="clear" w:color="auto" w:fill="FFFFFF"/>
        <w:spacing w:before="1200" w:after="180" w:line="300" w:lineRule="atLeast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</w:pPr>
      <w:r w:rsidRPr="00B01D0F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José María Roldán pide agilidad para adaptar la regulación del sector bancario al nuevo entorno tecnológico</w:t>
      </w:r>
    </w:p>
    <w:p w14:paraId="47B5659F" w14:textId="6E214BBA" w:rsidR="00E163CB" w:rsidRDefault="00B01D0F" w:rsidP="00A02B74">
      <w:pPr>
        <w:pBdr>
          <w:bottom w:val="single" w:sz="4" w:space="1" w:color="006265"/>
        </w:pBdr>
        <w:shd w:val="clear" w:color="auto" w:fill="FFFFFF"/>
        <w:spacing w:after="800" w:line="300" w:lineRule="atLeast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  <w:r w:rsidRPr="00B01D0F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El presidente de la Asociación Española de Banca habla de </w:t>
      </w:r>
      <w:r w:rsidR="005A00D6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las </w:t>
      </w: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oportunidades y </w:t>
      </w:r>
      <w:r w:rsidR="005A00D6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los </w:t>
      </w: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riesgos </w:t>
      </w:r>
      <w:r w:rsidR="005A00D6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que ofrecen</w:t>
      </w: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las </w:t>
      </w:r>
      <w:proofErr w:type="spellStart"/>
      <w:r w:rsidRPr="00B01D0F">
        <w:rPr>
          <w:rFonts w:ascii="Helvetica" w:eastAsia="Times New Roman" w:hAnsi="Helvetica" w:cs="Helvetica"/>
          <w:bCs/>
          <w:i/>
          <w:color w:val="006265"/>
          <w:kern w:val="36"/>
          <w:sz w:val="32"/>
          <w:szCs w:val="32"/>
          <w:lang w:eastAsia="es-ES"/>
        </w:rPr>
        <w:t>fintech</w:t>
      </w:r>
      <w:proofErr w:type="spellEnd"/>
      <w:r w:rsidRPr="00B01D0F">
        <w:rPr>
          <w:rFonts w:ascii="Helvetica" w:eastAsia="Times New Roman" w:hAnsi="Helvetica" w:cs="Helvetica"/>
          <w:bCs/>
          <w:i/>
          <w:color w:val="006265"/>
          <w:kern w:val="36"/>
          <w:sz w:val="32"/>
          <w:szCs w:val="32"/>
          <w:lang w:eastAsia="es-ES"/>
        </w:rPr>
        <w:t xml:space="preserve"> </w:t>
      </w:r>
      <w:r w:rsidRPr="00B01D0F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en la IX Jornada sobre Sector Bancario Español</w:t>
      </w: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</w:t>
      </w:r>
    </w:p>
    <w:p w14:paraId="0626EEA8" w14:textId="56F2C373" w:rsidR="00B01D0F" w:rsidRPr="00B01D0F" w:rsidRDefault="00284AEA" w:rsidP="00B01D0F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b/>
          <w:color w:val="333333"/>
        </w:rPr>
        <w:t>Valè</w:t>
      </w:r>
      <w:r w:rsidR="00FA22FA">
        <w:rPr>
          <w:rFonts w:ascii="Helvetica" w:hAnsi="Helvetica" w:cs="Helvetica"/>
          <w:b/>
          <w:color w:val="333333"/>
        </w:rPr>
        <w:t>ncia</w:t>
      </w:r>
      <w:proofErr w:type="spellEnd"/>
      <w:r w:rsidR="00FA22FA">
        <w:rPr>
          <w:rFonts w:ascii="Helvetica" w:hAnsi="Helvetica" w:cs="Helvetica"/>
          <w:b/>
          <w:color w:val="333333"/>
        </w:rPr>
        <w:t xml:space="preserve">, </w:t>
      </w:r>
      <w:r w:rsidR="00B01D0F">
        <w:rPr>
          <w:rFonts w:ascii="Helvetica" w:hAnsi="Helvetica" w:cs="Helvetica"/>
          <w:b/>
          <w:color w:val="333333"/>
        </w:rPr>
        <w:t>5</w:t>
      </w:r>
      <w:r w:rsidR="00FA22FA">
        <w:rPr>
          <w:rFonts w:ascii="Helvetica" w:hAnsi="Helvetica" w:cs="Helvetica"/>
          <w:b/>
          <w:color w:val="333333"/>
        </w:rPr>
        <w:t xml:space="preserve"> </w:t>
      </w:r>
      <w:r w:rsidR="00F31DF2">
        <w:rPr>
          <w:rFonts w:ascii="Helvetica" w:hAnsi="Helvetica" w:cs="Helvetica"/>
          <w:b/>
          <w:color w:val="333333"/>
        </w:rPr>
        <w:t xml:space="preserve">de </w:t>
      </w:r>
      <w:r w:rsidR="00B01D0F">
        <w:rPr>
          <w:rFonts w:ascii="Helvetica" w:hAnsi="Helvetica" w:cs="Helvetica"/>
          <w:b/>
          <w:color w:val="333333"/>
        </w:rPr>
        <w:t>noviembre</w:t>
      </w:r>
      <w:r w:rsidR="00F31DF2">
        <w:rPr>
          <w:rFonts w:ascii="Helvetica" w:hAnsi="Helvetica" w:cs="Helvetica"/>
          <w:b/>
          <w:color w:val="333333"/>
        </w:rPr>
        <w:t xml:space="preserve"> de 2018</w:t>
      </w:r>
      <w:r w:rsidR="00DA3510" w:rsidRPr="00DA3510">
        <w:rPr>
          <w:rFonts w:ascii="Helvetica" w:hAnsi="Helvetica" w:cs="Helvetica"/>
          <w:color w:val="333333"/>
        </w:rPr>
        <w:t xml:space="preserve">. </w:t>
      </w:r>
      <w:r w:rsidR="00B01D0F" w:rsidRPr="00B01D0F">
        <w:rPr>
          <w:rFonts w:ascii="Helvetica" w:hAnsi="Helvetica" w:cs="Helvetica"/>
          <w:color w:val="333333"/>
        </w:rPr>
        <w:t xml:space="preserve">El sector bancario español ha experimentado un proceso de reestructuración, saneamiento y capitalización que le ha permitido recuperar rentabilidad y reducir la morosidad. En comparación con la banca europea, la española es más rentable (ROE 8,9% frente a 7,2%), según ha explicado el director adjunto de Investigación del </w:t>
      </w:r>
      <w:proofErr w:type="spellStart"/>
      <w:r w:rsidR="00B01D0F" w:rsidRPr="00B01D0F">
        <w:rPr>
          <w:rFonts w:ascii="Helvetica" w:hAnsi="Helvetica" w:cs="Helvetica"/>
          <w:color w:val="333333"/>
        </w:rPr>
        <w:t>Ivie</w:t>
      </w:r>
      <w:proofErr w:type="spellEnd"/>
      <w:r w:rsidR="00B01D0F" w:rsidRPr="00B01D0F">
        <w:rPr>
          <w:rFonts w:ascii="Helvetica" w:hAnsi="Helvetica" w:cs="Helvetica"/>
          <w:color w:val="333333"/>
        </w:rPr>
        <w:t xml:space="preserve">, </w:t>
      </w:r>
      <w:r w:rsidR="00B01D0F" w:rsidRPr="00B01D0F">
        <w:rPr>
          <w:rFonts w:ascii="Helvetica" w:hAnsi="Helvetica" w:cs="Helvetica"/>
          <w:b/>
          <w:color w:val="333333"/>
        </w:rPr>
        <w:t xml:space="preserve">Joaquín </w:t>
      </w:r>
      <w:proofErr w:type="spellStart"/>
      <w:r w:rsidR="00B01D0F" w:rsidRPr="00B01D0F">
        <w:rPr>
          <w:rFonts w:ascii="Helvetica" w:hAnsi="Helvetica" w:cs="Helvetica"/>
          <w:b/>
          <w:color w:val="333333"/>
        </w:rPr>
        <w:t>Maudos</w:t>
      </w:r>
      <w:proofErr w:type="spellEnd"/>
      <w:r w:rsidR="00B01D0F" w:rsidRPr="00B01D0F">
        <w:rPr>
          <w:rFonts w:ascii="Helvetica" w:hAnsi="Helvetica" w:cs="Helvetica"/>
          <w:color w:val="333333"/>
        </w:rPr>
        <w:t xml:space="preserve">, en la presentación de la </w:t>
      </w:r>
      <w:r w:rsidR="00B01D0F" w:rsidRPr="00B01D0F">
        <w:rPr>
          <w:rFonts w:ascii="Helvetica" w:hAnsi="Helvetica" w:cs="Helvetica"/>
          <w:i/>
          <w:color w:val="333333"/>
        </w:rPr>
        <w:t>IX Jornada sobre el Sector Bancario Español</w:t>
      </w:r>
      <w:r w:rsidR="00B01D0F" w:rsidRPr="00B01D0F">
        <w:rPr>
          <w:rFonts w:ascii="Helvetica" w:hAnsi="Helvetica" w:cs="Helvetica"/>
          <w:color w:val="333333"/>
        </w:rPr>
        <w:t xml:space="preserve">, que se ha celebrado esta tarde en </w:t>
      </w:r>
      <w:proofErr w:type="spellStart"/>
      <w:r w:rsidR="00B01D0F" w:rsidRPr="00B01D0F">
        <w:rPr>
          <w:rFonts w:ascii="Helvetica" w:hAnsi="Helvetica" w:cs="Helvetica"/>
          <w:color w:val="333333"/>
        </w:rPr>
        <w:t>València</w:t>
      </w:r>
      <w:proofErr w:type="spellEnd"/>
      <w:r w:rsidR="00B01D0F" w:rsidRPr="00B01D0F">
        <w:rPr>
          <w:rFonts w:ascii="Helvetica" w:hAnsi="Helvetica" w:cs="Helvetica"/>
          <w:color w:val="333333"/>
        </w:rPr>
        <w:t xml:space="preserve">. </w:t>
      </w:r>
    </w:p>
    <w:p w14:paraId="1E9E4E58" w14:textId="77777777" w:rsidR="00B01D0F" w:rsidRPr="00B01D0F" w:rsidRDefault="00B01D0F" w:rsidP="00B01D0F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B01D0F">
        <w:rPr>
          <w:rFonts w:ascii="Helvetica" w:hAnsi="Helvetica" w:cs="Helvetica"/>
          <w:color w:val="333333"/>
        </w:rPr>
        <w:t xml:space="preserve">Sin embargo, ha añadido </w:t>
      </w:r>
      <w:proofErr w:type="spellStart"/>
      <w:r w:rsidRPr="00B01D0F">
        <w:rPr>
          <w:rFonts w:ascii="Helvetica" w:hAnsi="Helvetica" w:cs="Helvetica"/>
          <w:color w:val="333333"/>
        </w:rPr>
        <w:t>Maudos</w:t>
      </w:r>
      <w:proofErr w:type="spellEnd"/>
      <w:r w:rsidRPr="00B01D0F">
        <w:rPr>
          <w:rFonts w:ascii="Helvetica" w:hAnsi="Helvetica" w:cs="Helvetica"/>
          <w:color w:val="333333"/>
        </w:rPr>
        <w:t xml:space="preserve">, a pesar de este esfuerzo, la rentabilidad actual de la banca es inferior a la que exige el inversor y a esto contribuyen  varios factores: bajos tipos de interés de referencia, elevado volumen de activos improductivos, </w:t>
      </w:r>
      <w:proofErr w:type="spellStart"/>
      <w:r w:rsidRPr="00B01D0F">
        <w:rPr>
          <w:rFonts w:ascii="Helvetica" w:hAnsi="Helvetica" w:cs="Helvetica"/>
          <w:color w:val="333333"/>
        </w:rPr>
        <w:t>desapalancamiento</w:t>
      </w:r>
      <w:proofErr w:type="spellEnd"/>
      <w:r w:rsidRPr="00B01D0F">
        <w:rPr>
          <w:rFonts w:ascii="Helvetica" w:hAnsi="Helvetica" w:cs="Helvetica"/>
          <w:color w:val="333333"/>
        </w:rPr>
        <w:t xml:space="preserve"> del sector privado, presión regulatoria y desarrollo tecnológico e impacto de nuevos competidores. En este sentido, </w:t>
      </w:r>
      <w:proofErr w:type="spellStart"/>
      <w:r w:rsidRPr="00B01D0F">
        <w:rPr>
          <w:rFonts w:ascii="Helvetica" w:hAnsi="Helvetica" w:cs="Helvetica"/>
          <w:color w:val="333333"/>
        </w:rPr>
        <w:t>Maudos</w:t>
      </w:r>
      <w:proofErr w:type="spellEnd"/>
      <w:r w:rsidRPr="00B01D0F">
        <w:rPr>
          <w:rFonts w:ascii="Helvetica" w:hAnsi="Helvetica" w:cs="Helvetica"/>
          <w:color w:val="333333"/>
        </w:rPr>
        <w:t xml:space="preserve"> ha destacado la oportunidad que representan las innovaciones tecnológicas como las </w:t>
      </w:r>
      <w:proofErr w:type="spellStart"/>
      <w:r w:rsidRPr="00B01D0F">
        <w:rPr>
          <w:rFonts w:ascii="Helvetica" w:hAnsi="Helvetica" w:cs="Helvetica"/>
          <w:color w:val="333333"/>
        </w:rPr>
        <w:t>fintech</w:t>
      </w:r>
      <w:proofErr w:type="spellEnd"/>
      <w:r w:rsidRPr="00B01D0F">
        <w:rPr>
          <w:rFonts w:ascii="Helvetica" w:hAnsi="Helvetica" w:cs="Helvetica"/>
          <w:color w:val="333333"/>
        </w:rPr>
        <w:t xml:space="preserve">, el </w:t>
      </w:r>
      <w:proofErr w:type="spellStart"/>
      <w:r w:rsidRPr="00B01D0F">
        <w:rPr>
          <w:rFonts w:ascii="Helvetica" w:hAnsi="Helvetica" w:cs="Helvetica"/>
          <w:color w:val="333333"/>
        </w:rPr>
        <w:t>big</w:t>
      </w:r>
      <w:proofErr w:type="spellEnd"/>
      <w:r w:rsidRPr="00B01D0F">
        <w:rPr>
          <w:rFonts w:ascii="Helvetica" w:hAnsi="Helvetica" w:cs="Helvetica"/>
          <w:color w:val="333333"/>
        </w:rPr>
        <w:t xml:space="preserve"> data o el </w:t>
      </w:r>
      <w:proofErr w:type="spellStart"/>
      <w:r w:rsidRPr="00B01D0F">
        <w:rPr>
          <w:rFonts w:ascii="Helvetica" w:hAnsi="Helvetica" w:cs="Helvetica"/>
          <w:color w:val="333333"/>
        </w:rPr>
        <w:t>blockchain</w:t>
      </w:r>
      <w:proofErr w:type="spellEnd"/>
      <w:r w:rsidRPr="00B01D0F">
        <w:rPr>
          <w:rFonts w:ascii="Helvetica" w:hAnsi="Helvetica" w:cs="Helvetica"/>
          <w:color w:val="333333"/>
        </w:rPr>
        <w:t>, que permiten ganar eficiencia, pero también sus riegos, ya que suponen un elemento de presión en la competencia del sector, especialmente en los medios de pago.</w:t>
      </w:r>
    </w:p>
    <w:p w14:paraId="3A3038FF" w14:textId="77777777" w:rsidR="00B01D0F" w:rsidRPr="00B01D0F" w:rsidRDefault="00B01D0F" w:rsidP="00B01D0F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B01D0F">
        <w:rPr>
          <w:rFonts w:ascii="Helvetica" w:hAnsi="Helvetica" w:cs="Helvetica"/>
          <w:color w:val="333333"/>
        </w:rPr>
        <w:t xml:space="preserve">La jornada de banca, organizada por el Ivie, ha contado con la conferencia invitada de </w:t>
      </w:r>
      <w:r w:rsidRPr="00B01D0F">
        <w:rPr>
          <w:rFonts w:ascii="Helvetica" w:hAnsi="Helvetica" w:cs="Helvetica"/>
          <w:b/>
          <w:color w:val="333333"/>
        </w:rPr>
        <w:t>José María Roldán</w:t>
      </w:r>
      <w:r w:rsidRPr="00B01D0F">
        <w:rPr>
          <w:rFonts w:ascii="Helvetica" w:hAnsi="Helvetica" w:cs="Helvetica"/>
          <w:color w:val="333333"/>
        </w:rPr>
        <w:t>, presidente de la Asociación Española de Banca, quien se ha mostrado de acuerdo en que la digitalización y la innovación tecnológica ofrecen oportunidades al sector. “Contamos con un sistema bancario avanzado en tecnología que quiere ser líder en innovación aplicada a las finanzas (</w:t>
      </w:r>
      <w:proofErr w:type="spellStart"/>
      <w:r w:rsidRPr="00B01D0F">
        <w:rPr>
          <w:rFonts w:ascii="Helvetica" w:hAnsi="Helvetica" w:cs="Helvetica"/>
          <w:color w:val="333333"/>
        </w:rPr>
        <w:t>fintech</w:t>
      </w:r>
      <w:proofErr w:type="spellEnd"/>
      <w:r w:rsidRPr="00B01D0F">
        <w:rPr>
          <w:rFonts w:ascii="Helvetica" w:hAnsi="Helvetica" w:cs="Helvetica"/>
          <w:color w:val="333333"/>
        </w:rPr>
        <w:t xml:space="preserve">)”, ha destacado. Pero, en su opinión, “hay que adaptar el entorno regulatorio y supervisor con agilidad y con un enfoque innovador que proporcione seguridad, privacidad y protección al usuario”. Además, ha insistido en la necesidad de que exista una coordinación internacional entre entidades y autoridades para supervisar las nuevas formas de operar, así como sus riesgos. Roldán también ha querido destacar la importancia de potenciar la educación financiera y digital. </w:t>
      </w:r>
    </w:p>
    <w:p w14:paraId="485ABAB9" w14:textId="56E4F5DA" w:rsidR="007C0BFF" w:rsidRDefault="00B01D0F" w:rsidP="00B01D0F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B01D0F">
        <w:rPr>
          <w:rFonts w:ascii="Helvetica" w:hAnsi="Helvetica" w:cs="Helvetica"/>
          <w:color w:val="333333"/>
        </w:rPr>
        <w:lastRenderedPageBreak/>
        <w:t xml:space="preserve">La IX Jornada sobre el Sector Bancario Español ha reunido en </w:t>
      </w:r>
      <w:proofErr w:type="spellStart"/>
      <w:r w:rsidRPr="00B01D0F">
        <w:rPr>
          <w:rFonts w:ascii="Helvetica" w:hAnsi="Helvetica" w:cs="Helvetica"/>
          <w:color w:val="333333"/>
        </w:rPr>
        <w:t>València</w:t>
      </w:r>
      <w:proofErr w:type="spellEnd"/>
      <w:r w:rsidRPr="00B01D0F">
        <w:rPr>
          <w:rFonts w:ascii="Helvetica" w:hAnsi="Helvetica" w:cs="Helvetica"/>
          <w:color w:val="333333"/>
        </w:rPr>
        <w:t xml:space="preserve"> a más de un centenar de personas</w:t>
      </w:r>
      <w:r w:rsidR="00F03FCA">
        <w:rPr>
          <w:rFonts w:ascii="Helvetica" w:hAnsi="Helvetica" w:cs="Helvetica"/>
          <w:color w:val="333333"/>
        </w:rPr>
        <w:t>, profesionales del sector bancario y público en general interesado por el futuro del negocio de la banca.</w:t>
      </w:r>
      <w:bookmarkStart w:id="0" w:name="_GoBack"/>
      <w:bookmarkEnd w:id="0"/>
    </w:p>
    <w:p w14:paraId="449A95D4" w14:textId="7542A36F" w:rsidR="009B2B99" w:rsidRPr="00B01D0F" w:rsidRDefault="009B2B99" w:rsidP="00A02B74">
      <w:pPr>
        <w:rPr>
          <w:rFonts w:ascii="Helvetica" w:hAnsi="Helvetica" w:cs="Helvetica"/>
          <w:color w:val="333333"/>
        </w:rPr>
      </w:pPr>
    </w:p>
    <w:p w14:paraId="7972B510" w14:textId="77777777" w:rsidR="00FD79E1" w:rsidRPr="00A02B74" w:rsidRDefault="009333B2" w:rsidP="00C212EB">
      <w:pPr>
        <w:jc w:val="both"/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6964A1" wp14:editId="46464D21">
                <wp:simplePos x="0" y="0"/>
                <wp:positionH relativeFrom="column">
                  <wp:posOffset>14568</wp:posOffset>
                </wp:positionH>
                <wp:positionV relativeFrom="paragraph">
                  <wp:posOffset>154126</wp:posOffset>
                </wp:positionV>
                <wp:extent cx="2665927" cy="1313645"/>
                <wp:effectExtent l="0" t="0" r="1270" b="12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927" cy="13136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26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26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265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4 Rectángulo" o:spid="_x0000_s1026" style="position:absolute;margin-left:1.15pt;margin-top:12.15pt;width:209.9pt;height:10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" fillcolor="#99b2b4" stroked="f" strokeweight="1pt">
                <v:fill color2="#e1e7e8" rotate="t" angle="225" colors="0 #99b2b4;.5 #c2cfd0;1 #e1e7e8" focus="100%" type="gradient"/>
              </v:rect>
            </w:pict>
          </mc:Fallback>
        </mc:AlternateContent>
      </w:r>
    </w:p>
    <w:p w14:paraId="409918DB" w14:textId="77777777" w:rsidR="0082443F" w:rsidRDefault="0082443F" w:rsidP="00A02B74">
      <w:pPr>
        <w:ind w:left="340"/>
        <w:jc w:val="both"/>
        <w:rPr>
          <w:rFonts w:ascii="Helvetica" w:hAnsi="Helvetica" w:cs="Helvetica"/>
          <w:b/>
        </w:rPr>
      </w:pPr>
      <w:r w:rsidRPr="00556018">
        <w:rPr>
          <w:rFonts w:ascii="Helvetica" w:hAnsi="Helvetica" w:cs="Helvetica"/>
          <w:b/>
        </w:rPr>
        <w:t>Para más información:</w:t>
      </w:r>
    </w:p>
    <w:p w14:paraId="4C5B4EB8" w14:textId="77777777" w:rsidR="002837A8" w:rsidRPr="00556018" w:rsidRDefault="002837A8" w:rsidP="00A02B74">
      <w:pPr>
        <w:spacing w:after="0"/>
        <w:ind w:left="34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Yolanda </w:t>
      </w:r>
      <w:proofErr w:type="spellStart"/>
      <w:r>
        <w:rPr>
          <w:rFonts w:ascii="Helvetica" w:hAnsi="Helvetica" w:cs="Helvetica"/>
          <w:b/>
        </w:rPr>
        <w:t>Jover</w:t>
      </w:r>
      <w:proofErr w:type="spellEnd"/>
    </w:p>
    <w:p w14:paraId="65E7B56B" w14:textId="77777777" w:rsidR="0082443F" w:rsidRPr="00556018" w:rsidRDefault="0082443F" w:rsidP="00A02B74">
      <w:pPr>
        <w:spacing w:after="120"/>
        <w:ind w:left="340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 xml:space="preserve">Departamento de Comunicación </w:t>
      </w:r>
      <w:r w:rsidR="009333B2" w:rsidRPr="00A02B74">
        <w:rPr>
          <w:rFonts w:ascii="Helvetica" w:hAnsi="Helvetica" w:cs="Helvetica"/>
        </w:rPr>
        <w:br/>
      </w:r>
      <w:r w:rsidRPr="00556018">
        <w:rPr>
          <w:rFonts w:ascii="Helvetica" w:hAnsi="Helvetica" w:cs="Helvetica"/>
        </w:rPr>
        <w:t>prensa@ivie.es</w:t>
      </w:r>
    </w:p>
    <w:p w14:paraId="0527BC24" w14:textId="32883C78" w:rsidR="00DF584F" w:rsidRPr="00EE1087" w:rsidRDefault="0082443F" w:rsidP="000C42C8">
      <w:pPr>
        <w:ind w:left="340"/>
        <w:jc w:val="both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>Telf. 963190050</w:t>
      </w:r>
      <w:r w:rsidR="00FF4176">
        <w:rPr>
          <w:rFonts w:ascii="Helvetica" w:hAnsi="Helvetica" w:cs="Helvetica"/>
        </w:rPr>
        <w:t xml:space="preserve"> / 608</w:t>
      </w:r>
      <w:r w:rsidR="000F3598">
        <w:rPr>
          <w:rFonts w:ascii="Helvetica" w:hAnsi="Helvetica" w:cs="Helvetica"/>
        </w:rPr>
        <w:t xml:space="preserve"> 74 83 35</w:t>
      </w:r>
    </w:p>
    <w:sectPr w:rsidR="00DF584F" w:rsidRPr="00EE1087" w:rsidSect="00B01D0F">
      <w:footerReference w:type="default" r:id="rId9"/>
      <w:headerReference w:type="first" r:id="rId10"/>
      <w:footerReference w:type="first" r:id="rId11"/>
      <w:pgSz w:w="11906" w:h="16838"/>
      <w:pgMar w:top="2268" w:right="1531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DFAF7" w14:textId="77777777" w:rsidR="00446D42" w:rsidRDefault="00446D42" w:rsidP="00ED5518">
      <w:pPr>
        <w:spacing w:after="0" w:line="240" w:lineRule="auto"/>
      </w:pPr>
      <w:r>
        <w:separator/>
      </w:r>
    </w:p>
  </w:endnote>
  <w:endnote w:type="continuationSeparator" w:id="0">
    <w:p w14:paraId="74A81D7D" w14:textId="77777777" w:rsidR="00446D42" w:rsidRDefault="00446D42" w:rsidP="00ED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2CC93" w14:textId="77777777" w:rsidR="00446D42" w:rsidRDefault="00446D42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F03FC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36F7D" w14:textId="77777777" w:rsidR="00446D42" w:rsidRDefault="00446D42" w:rsidP="00556018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F03FCA">
      <w:rPr>
        <w:noProof/>
      </w:rPr>
      <w:t>1</w:t>
    </w:r>
    <w:r>
      <w:fldChar w:fldCharType="end"/>
    </w:r>
  </w:p>
  <w:p w14:paraId="4898E16E" w14:textId="77777777" w:rsidR="00446D42" w:rsidRDefault="00446D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225E6" w14:textId="77777777" w:rsidR="00446D42" w:rsidRDefault="00446D42" w:rsidP="00ED5518">
      <w:pPr>
        <w:spacing w:after="0" w:line="240" w:lineRule="auto"/>
      </w:pPr>
      <w:r>
        <w:separator/>
      </w:r>
    </w:p>
  </w:footnote>
  <w:footnote w:type="continuationSeparator" w:id="0">
    <w:p w14:paraId="4D0992B0" w14:textId="77777777" w:rsidR="00446D42" w:rsidRDefault="00446D42" w:rsidP="00ED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6249F" w14:textId="77777777" w:rsidR="00C04254" w:rsidRDefault="00C04254">
    <w:pPr>
      <w:pStyle w:val="Encabezado"/>
    </w:pPr>
  </w:p>
  <w:p w14:paraId="60E7BB28" w14:textId="3F0D3D61" w:rsidR="00C04254" w:rsidRDefault="00C04254">
    <w:pPr>
      <w:pStyle w:val="Encabezado"/>
    </w:pPr>
    <w:r>
      <w:rPr>
        <w:noProof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773B4265" wp14:editId="79F88B7A">
          <wp:simplePos x="0" y="0"/>
          <wp:positionH relativeFrom="column">
            <wp:posOffset>-19685</wp:posOffset>
          </wp:positionH>
          <wp:positionV relativeFrom="paragraph">
            <wp:posOffset>125730</wp:posOffset>
          </wp:positionV>
          <wp:extent cx="978535" cy="5162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vi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3CDBD" w14:textId="77777777" w:rsidR="00C04254" w:rsidRDefault="00C04254">
    <w:pPr>
      <w:pStyle w:val="Encabezado"/>
    </w:pPr>
  </w:p>
  <w:p w14:paraId="3FA735C4" w14:textId="3C49D169" w:rsidR="00446D42" w:rsidRDefault="00C04254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23D4"/>
    <w:multiLevelType w:val="hybridMultilevel"/>
    <w:tmpl w:val="59AC9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666AC"/>
    <w:multiLevelType w:val="hybridMultilevel"/>
    <w:tmpl w:val="415E417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440C5"/>
    <w:multiLevelType w:val="hybridMultilevel"/>
    <w:tmpl w:val="749E4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642A6"/>
    <w:multiLevelType w:val="hybridMultilevel"/>
    <w:tmpl w:val="3C641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64CEB"/>
    <w:multiLevelType w:val="hybridMultilevel"/>
    <w:tmpl w:val="26B2FA02"/>
    <w:lvl w:ilvl="0" w:tplc="B9F20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0"/>
    <w:rsid w:val="00000F50"/>
    <w:rsid w:val="00024175"/>
    <w:rsid w:val="000733FA"/>
    <w:rsid w:val="000747A1"/>
    <w:rsid w:val="00096093"/>
    <w:rsid w:val="000C2555"/>
    <w:rsid w:val="000C42C8"/>
    <w:rsid w:val="000C4443"/>
    <w:rsid w:val="000C5D30"/>
    <w:rsid w:val="000D5C26"/>
    <w:rsid w:val="000E01C0"/>
    <w:rsid w:val="000E5E4F"/>
    <w:rsid w:val="000F3598"/>
    <w:rsid w:val="00117C54"/>
    <w:rsid w:val="0013606E"/>
    <w:rsid w:val="0014693A"/>
    <w:rsid w:val="00162420"/>
    <w:rsid w:val="0016457C"/>
    <w:rsid w:val="00165E88"/>
    <w:rsid w:val="00171BAC"/>
    <w:rsid w:val="001A6A4F"/>
    <w:rsid w:val="001C3AA4"/>
    <w:rsid w:val="001C5E70"/>
    <w:rsid w:val="001C7D17"/>
    <w:rsid w:val="001D1531"/>
    <w:rsid w:val="001D4BB0"/>
    <w:rsid w:val="00207D52"/>
    <w:rsid w:val="00212869"/>
    <w:rsid w:val="00224668"/>
    <w:rsid w:val="00237562"/>
    <w:rsid w:val="00246E3B"/>
    <w:rsid w:val="002503A2"/>
    <w:rsid w:val="002837A8"/>
    <w:rsid w:val="00284AEA"/>
    <w:rsid w:val="00292B71"/>
    <w:rsid w:val="002C6C1B"/>
    <w:rsid w:val="003138D4"/>
    <w:rsid w:val="00315A5B"/>
    <w:rsid w:val="0032065F"/>
    <w:rsid w:val="00343FB4"/>
    <w:rsid w:val="00351C4C"/>
    <w:rsid w:val="00363EBF"/>
    <w:rsid w:val="003678E4"/>
    <w:rsid w:val="00380CE7"/>
    <w:rsid w:val="00386057"/>
    <w:rsid w:val="003B2954"/>
    <w:rsid w:val="003F3DC2"/>
    <w:rsid w:val="004133D6"/>
    <w:rsid w:val="00427138"/>
    <w:rsid w:val="004365F9"/>
    <w:rsid w:val="00446D42"/>
    <w:rsid w:val="00453AA3"/>
    <w:rsid w:val="004719EB"/>
    <w:rsid w:val="00477BC1"/>
    <w:rsid w:val="00484CE0"/>
    <w:rsid w:val="00486262"/>
    <w:rsid w:val="004A4795"/>
    <w:rsid w:val="004A6727"/>
    <w:rsid w:val="004B0DCA"/>
    <w:rsid w:val="004B7E8D"/>
    <w:rsid w:val="004C0816"/>
    <w:rsid w:val="004C3792"/>
    <w:rsid w:val="004E1897"/>
    <w:rsid w:val="004E5C92"/>
    <w:rsid w:val="005240D2"/>
    <w:rsid w:val="00527015"/>
    <w:rsid w:val="00552B8E"/>
    <w:rsid w:val="005544AA"/>
    <w:rsid w:val="00556018"/>
    <w:rsid w:val="005620C3"/>
    <w:rsid w:val="00566C12"/>
    <w:rsid w:val="005A00D6"/>
    <w:rsid w:val="005A1860"/>
    <w:rsid w:val="005A30DD"/>
    <w:rsid w:val="005A4B19"/>
    <w:rsid w:val="005B7795"/>
    <w:rsid w:val="005C4997"/>
    <w:rsid w:val="005D1C39"/>
    <w:rsid w:val="005F07DB"/>
    <w:rsid w:val="00632232"/>
    <w:rsid w:val="00634A69"/>
    <w:rsid w:val="00635DC2"/>
    <w:rsid w:val="00637DF5"/>
    <w:rsid w:val="00640893"/>
    <w:rsid w:val="006662B8"/>
    <w:rsid w:val="00693B7B"/>
    <w:rsid w:val="006976B6"/>
    <w:rsid w:val="006E1459"/>
    <w:rsid w:val="006E41AF"/>
    <w:rsid w:val="006F4F56"/>
    <w:rsid w:val="006F5222"/>
    <w:rsid w:val="006F6C76"/>
    <w:rsid w:val="00710B09"/>
    <w:rsid w:val="00764299"/>
    <w:rsid w:val="00776743"/>
    <w:rsid w:val="0079217A"/>
    <w:rsid w:val="00796D26"/>
    <w:rsid w:val="007B444E"/>
    <w:rsid w:val="007C0BFF"/>
    <w:rsid w:val="007C3E7C"/>
    <w:rsid w:val="007C501A"/>
    <w:rsid w:val="007D4C4E"/>
    <w:rsid w:val="007F63A7"/>
    <w:rsid w:val="00802EFD"/>
    <w:rsid w:val="00803AB5"/>
    <w:rsid w:val="00823BC3"/>
    <w:rsid w:val="0082443F"/>
    <w:rsid w:val="0083565D"/>
    <w:rsid w:val="00836CAA"/>
    <w:rsid w:val="00840024"/>
    <w:rsid w:val="008414B0"/>
    <w:rsid w:val="00847B0C"/>
    <w:rsid w:val="00863E40"/>
    <w:rsid w:val="00870F15"/>
    <w:rsid w:val="0087314D"/>
    <w:rsid w:val="00875B8B"/>
    <w:rsid w:val="00891CE0"/>
    <w:rsid w:val="008974BB"/>
    <w:rsid w:val="008E1297"/>
    <w:rsid w:val="008E52EC"/>
    <w:rsid w:val="0090477F"/>
    <w:rsid w:val="00905284"/>
    <w:rsid w:val="0091150D"/>
    <w:rsid w:val="009333B2"/>
    <w:rsid w:val="00942290"/>
    <w:rsid w:val="00944A23"/>
    <w:rsid w:val="0095414D"/>
    <w:rsid w:val="0097460A"/>
    <w:rsid w:val="009832C2"/>
    <w:rsid w:val="0098556B"/>
    <w:rsid w:val="009B2B99"/>
    <w:rsid w:val="009B68A4"/>
    <w:rsid w:val="009C5950"/>
    <w:rsid w:val="009D4FCC"/>
    <w:rsid w:val="00A02B74"/>
    <w:rsid w:val="00A05A23"/>
    <w:rsid w:val="00A134FA"/>
    <w:rsid w:val="00A42373"/>
    <w:rsid w:val="00A61B18"/>
    <w:rsid w:val="00A71549"/>
    <w:rsid w:val="00A731C5"/>
    <w:rsid w:val="00A746D1"/>
    <w:rsid w:val="00AB59D1"/>
    <w:rsid w:val="00AD353C"/>
    <w:rsid w:val="00AD5082"/>
    <w:rsid w:val="00AE4C9F"/>
    <w:rsid w:val="00AF4F87"/>
    <w:rsid w:val="00B01D0F"/>
    <w:rsid w:val="00B04032"/>
    <w:rsid w:val="00B06079"/>
    <w:rsid w:val="00B40F92"/>
    <w:rsid w:val="00B61887"/>
    <w:rsid w:val="00B654EC"/>
    <w:rsid w:val="00B8168E"/>
    <w:rsid w:val="00B8722C"/>
    <w:rsid w:val="00BA4EF9"/>
    <w:rsid w:val="00BC6109"/>
    <w:rsid w:val="00BE37F0"/>
    <w:rsid w:val="00BE5988"/>
    <w:rsid w:val="00C04254"/>
    <w:rsid w:val="00C06065"/>
    <w:rsid w:val="00C212EB"/>
    <w:rsid w:val="00C45DC4"/>
    <w:rsid w:val="00C47D18"/>
    <w:rsid w:val="00C81A8E"/>
    <w:rsid w:val="00C93D8E"/>
    <w:rsid w:val="00C96A48"/>
    <w:rsid w:val="00CC749B"/>
    <w:rsid w:val="00CE7D7F"/>
    <w:rsid w:val="00CF429A"/>
    <w:rsid w:val="00D15A92"/>
    <w:rsid w:val="00D24421"/>
    <w:rsid w:val="00D26F41"/>
    <w:rsid w:val="00D564A8"/>
    <w:rsid w:val="00D6629B"/>
    <w:rsid w:val="00D73C0D"/>
    <w:rsid w:val="00D90A3A"/>
    <w:rsid w:val="00D92075"/>
    <w:rsid w:val="00DA1D87"/>
    <w:rsid w:val="00DA3510"/>
    <w:rsid w:val="00DA484A"/>
    <w:rsid w:val="00DA58B4"/>
    <w:rsid w:val="00DC10DF"/>
    <w:rsid w:val="00DE1632"/>
    <w:rsid w:val="00DF4A13"/>
    <w:rsid w:val="00DF584F"/>
    <w:rsid w:val="00E163CB"/>
    <w:rsid w:val="00E74FED"/>
    <w:rsid w:val="00E9577B"/>
    <w:rsid w:val="00EB42B7"/>
    <w:rsid w:val="00ED1D01"/>
    <w:rsid w:val="00ED5518"/>
    <w:rsid w:val="00EE1087"/>
    <w:rsid w:val="00EF330A"/>
    <w:rsid w:val="00F03FCA"/>
    <w:rsid w:val="00F31DF2"/>
    <w:rsid w:val="00F4349F"/>
    <w:rsid w:val="00F47323"/>
    <w:rsid w:val="00F55F07"/>
    <w:rsid w:val="00F72FFD"/>
    <w:rsid w:val="00F73859"/>
    <w:rsid w:val="00F74AAA"/>
    <w:rsid w:val="00FA22FA"/>
    <w:rsid w:val="00FB4349"/>
    <w:rsid w:val="00FC0C40"/>
    <w:rsid w:val="00FD586B"/>
    <w:rsid w:val="00FD79E1"/>
    <w:rsid w:val="00FE5D50"/>
    <w:rsid w:val="00FF1B8C"/>
    <w:rsid w:val="00FF4176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55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  <w:style w:type="character" w:styleId="Refdecomentario">
    <w:name w:val="annotation reference"/>
    <w:basedOn w:val="Fuentedeprrafopredeter"/>
    <w:uiPriority w:val="99"/>
    <w:semiHidden/>
    <w:unhideWhenUsed/>
    <w:rsid w:val="00E95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7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7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77B"/>
    <w:rPr>
      <w:b/>
      <w:bCs/>
      <w:sz w:val="20"/>
      <w:szCs w:val="20"/>
    </w:rPr>
  </w:style>
  <w:style w:type="character" w:customStyle="1" w:styleId="itemizelabel">
    <w:name w:val="itemize_label"/>
    <w:basedOn w:val="Fuentedeprrafopredeter"/>
    <w:rsid w:val="00A71549"/>
  </w:style>
  <w:style w:type="table" w:styleId="Tablaconcuadrcula">
    <w:name w:val="Table Grid"/>
    <w:basedOn w:val="Tablanormal"/>
    <w:uiPriority w:val="39"/>
    <w:rsid w:val="00B0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  <w:style w:type="character" w:styleId="Refdecomentario">
    <w:name w:val="annotation reference"/>
    <w:basedOn w:val="Fuentedeprrafopredeter"/>
    <w:uiPriority w:val="99"/>
    <w:semiHidden/>
    <w:unhideWhenUsed/>
    <w:rsid w:val="00E95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7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7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77B"/>
    <w:rPr>
      <w:b/>
      <w:bCs/>
      <w:sz w:val="20"/>
      <w:szCs w:val="20"/>
    </w:rPr>
  </w:style>
  <w:style w:type="character" w:customStyle="1" w:styleId="itemizelabel">
    <w:name w:val="itemize_label"/>
    <w:basedOn w:val="Fuentedeprrafopredeter"/>
    <w:rsid w:val="00A71549"/>
  </w:style>
  <w:style w:type="table" w:styleId="Tablaconcuadrcula">
    <w:name w:val="Table Grid"/>
    <w:basedOn w:val="Tablanormal"/>
    <w:uiPriority w:val="39"/>
    <w:rsid w:val="00B0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998">
          <w:marLeft w:val="36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6230-0728-4CD6-9D86-DEAB841F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Jover</dc:creator>
  <cp:lastModifiedBy>Yolanda Jover</cp:lastModifiedBy>
  <cp:revision>6</cp:revision>
  <cp:lastPrinted>2018-10-25T13:05:00Z</cp:lastPrinted>
  <dcterms:created xsi:type="dcterms:W3CDTF">2018-11-05T14:13:00Z</dcterms:created>
  <dcterms:modified xsi:type="dcterms:W3CDTF">2018-11-05T18:22:00Z</dcterms:modified>
</cp:coreProperties>
</file>