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B31E2" w14:textId="7BC597A0" w:rsidR="008E1297" w:rsidRDefault="00FA22FA" w:rsidP="00A02B74">
      <w:pPr>
        <w:shd w:val="clear" w:color="auto" w:fill="FFFFFF"/>
        <w:spacing w:before="1200" w:after="180" w:line="30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Mejorar la calidad institucional y acabar con la corrupción p</w:t>
      </w:r>
      <w:r w:rsidR="001C5E7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odría</w:t>
      </w:r>
      <w:r w:rsidR="00F74AAA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elevar un 16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% el PIB per cápita </w:t>
      </w:r>
      <w:r w:rsidR="00E74FED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de España 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en </w:t>
      </w:r>
      <w:r w:rsidR="0090528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un plazo de </w:t>
      </w:r>
      <w:r w:rsidR="00E163CB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quince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años</w:t>
      </w:r>
    </w:p>
    <w:p w14:paraId="47B5659F" w14:textId="2DB2B8B6" w:rsidR="00E163CB" w:rsidRDefault="00E163CB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Esto significaría añadir </w:t>
      </w:r>
      <w:r w:rsidR="00D564A8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cada año </w:t>
      </w:r>
      <w:r w:rsidR="00F74AAA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en torno a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un punto porcentual al crecimiento de la economía española</w:t>
      </w:r>
    </w:p>
    <w:p w14:paraId="60A30782" w14:textId="3ABE34F9" w:rsidR="007F63A7" w:rsidRPr="00207D52" w:rsidRDefault="003B2954" w:rsidP="00B04032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ind w:left="714" w:hanging="357"/>
        <w:contextualSpacing w:val="0"/>
        <w:jc w:val="both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 w:rsidRPr="007F63A7">
        <w:rPr>
          <w:rFonts w:ascii="Helvetica" w:hAnsi="Helvetica" w:cs="Helvetica"/>
          <w:color w:val="333333"/>
        </w:rPr>
        <w:t>Los indicadores de calidad institucional sitúan a España entre el 20</w:t>
      </w:r>
      <w:r w:rsidR="00D564A8" w:rsidRPr="007F63A7">
        <w:rPr>
          <w:rFonts w:ascii="Helvetica" w:hAnsi="Helvetica" w:cs="Helvetica"/>
          <w:color w:val="333333"/>
        </w:rPr>
        <w:t xml:space="preserve">% de </w:t>
      </w:r>
      <w:r w:rsidRPr="007F63A7">
        <w:rPr>
          <w:rFonts w:ascii="Helvetica" w:hAnsi="Helvetica" w:cs="Helvetica"/>
          <w:color w:val="333333"/>
        </w:rPr>
        <w:t xml:space="preserve">los </w:t>
      </w:r>
      <w:r w:rsidR="00D564A8" w:rsidRPr="007F63A7">
        <w:rPr>
          <w:rFonts w:ascii="Helvetica" w:hAnsi="Helvetica" w:cs="Helvetica"/>
          <w:color w:val="333333"/>
        </w:rPr>
        <w:t>países con un</w:t>
      </w:r>
      <w:r w:rsidR="00840024" w:rsidRPr="007F63A7">
        <w:rPr>
          <w:rFonts w:ascii="Helvetica" w:hAnsi="Helvetica" w:cs="Helvetica"/>
          <w:color w:val="333333"/>
        </w:rPr>
        <w:t xml:space="preserve">a mejor gobernanza </w:t>
      </w:r>
      <w:r w:rsidR="00D564A8" w:rsidRPr="007F63A7">
        <w:rPr>
          <w:rFonts w:ascii="Helvetica" w:hAnsi="Helvetica" w:cs="Helvetica"/>
          <w:color w:val="333333"/>
        </w:rPr>
        <w:t>en el mundo</w:t>
      </w:r>
      <w:r w:rsidR="007F63A7">
        <w:rPr>
          <w:rFonts w:ascii="Helvetica" w:hAnsi="Helvetica" w:cs="Helvetica"/>
          <w:color w:val="333333"/>
        </w:rPr>
        <w:t>, pero</w:t>
      </w:r>
      <w:r w:rsidR="00D564A8" w:rsidRPr="007F63A7">
        <w:rPr>
          <w:rFonts w:ascii="Helvetica" w:hAnsi="Helvetica" w:cs="Helvetica"/>
          <w:color w:val="333333"/>
        </w:rPr>
        <w:t xml:space="preserve"> </w:t>
      </w:r>
      <w:r w:rsidRPr="007F63A7">
        <w:rPr>
          <w:rFonts w:ascii="Helvetica" w:hAnsi="Helvetica" w:cs="Helvetica"/>
          <w:color w:val="333333"/>
        </w:rPr>
        <w:t xml:space="preserve">no alcanza el nivel que </w:t>
      </w:r>
      <w:r w:rsidR="007F63A7">
        <w:rPr>
          <w:rFonts w:ascii="Helvetica" w:hAnsi="Helvetica" w:cs="Helvetica"/>
          <w:color w:val="333333"/>
        </w:rPr>
        <w:t xml:space="preserve">le </w:t>
      </w:r>
      <w:r w:rsidR="00427138">
        <w:rPr>
          <w:rFonts w:ascii="Helvetica" w:hAnsi="Helvetica" w:cs="Helvetica"/>
          <w:color w:val="333333"/>
        </w:rPr>
        <w:t>correspondería</w:t>
      </w:r>
      <w:bookmarkStart w:id="0" w:name="_GoBack"/>
      <w:bookmarkEnd w:id="0"/>
      <w:r w:rsidRPr="007F63A7">
        <w:rPr>
          <w:rFonts w:ascii="Helvetica" w:hAnsi="Helvetica" w:cs="Helvetica"/>
          <w:color w:val="333333"/>
        </w:rPr>
        <w:t xml:space="preserve"> </w:t>
      </w:r>
      <w:r w:rsidR="00D564A8" w:rsidRPr="007F63A7">
        <w:rPr>
          <w:rFonts w:ascii="Helvetica" w:hAnsi="Helvetica" w:cs="Helvetica"/>
          <w:color w:val="333333"/>
        </w:rPr>
        <w:t>de acuerdo con el desarrollo de su economía</w:t>
      </w:r>
    </w:p>
    <w:p w14:paraId="51AFEE8E" w14:textId="6963E828" w:rsidR="007F63A7" w:rsidRPr="00207D52" w:rsidRDefault="003B2954" w:rsidP="00B04032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ind w:left="714" w:hanging="357"/>
        <w:contextualSpacing w:val="0"/>
        <w:jc w:val="both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 w:rsidRPr="007F63A7">
        <w:rPr>
          <w:rFonts w:ascii="Helvetica" w:hAnsi="Helvetica" w:cs="Helvetica"/>
          <w:color w:val="333333"/>
        </w:rPr>
        <w:t xml:space="preserve">España obtiene un valor de 6,8 </w:t>
      </w:r>
      <w:r w:rsidR="00870F15" w:rsidRPr="007F63A7">
        <w:rPr>
          <w:rFonts w:ascii="Helvetica" w:hAnsi="Helvetica" w:cs="Helvetica"/>
          <w:color w:val="333333"/>
        </w:rPr>
        <w:t xml:space="preserve">sobre 10 </w:t>
      </w:r>
      <w:r w:rsidRPr="007F63A7">
        <w:rPr>
          <w:rFonts w:ascii="Helvetica" w:hAnsi="Helvetica" w:cs="Helvetica"/>
          <w:color w:val="333333"/>
        </w:rPr>
        <w:t>en el indicador combinado de calidad institucional</w:t>
      </w:r>
      <w:r w:rsidR="00FA22FA" w:rsidRPr="007F63A7">
        <w:rPr>
          <w:rFonts w:ascii="Helvetica" w:hAnsi="Helvetica" w:cs="Helvetica"/>
          <w:color w:val="333333"/>
        </w:rPr>
        <w:t>, frente a</w:t>
      </w:r>
      <w:r w:rsidR="00870F15" w:rsidRPr="007F63A7">
        <w:rPr>
          <w:rFonts w:ascii="Helvetica" w:hAnsi="Helvetica" w:cs="Helvetica"/>
          <w:color w:val="333333"/>
        </w:rPr>
        <w:t xml:space="preserve">l </w:t>
      </w:r>
      <w:r w:rsidR="00FA22FA" w:rsidRPr="007F63A7">
        <w:rPr>
          <w:rFonts w:ascii="Helvetica" w:hAnsi="Helvetica" w:cs="Helvetica"/>
          <w:color w:val="333333"/>
        </w:rPr>
        <w:t>8 de la media de Alemania, Francia y Reino Unido</w:t>
      </w:r>
      <w:r w:rsidR="005B7795" w:rsidRPr="007F63A7">
        <w:rPr>
          <w:rFonts w:ascii="Helvetica" w:hAnsi="Helvetica" w:cs="Helvetica"/>
          <w:color w:val="333333"/>
        </w:rPr>
        <w:t>,</w:t>
      </w:r>
      <w:r w:rsidR="00870F15" w:rsidRPr="007F63A7">
        <w:rPr>
          <w:rFonts w:ascii="Helvetica" w:hAnsi="Helvetica" w:cs="Helvetica"/>
          <w:color w:val="333333"/>
        </w:rPr>
        <w:t xml:space="preserve"> y al 5,8 de la media de </w:t>
      </w:r>
      <w:r w:rsidR="00C45DC4" w:rsidRPr="007F63A7">
        <w:rPr>
          <w:rFonts w:ascii="Helvetica" w:hAnsi="Helvetica" w:cs="Helvetica"/>
          <w:color w:val="333333"/>
        </w:rPr>
        <w:t xml:space="preserve">Italia </w:t>
      </w:r>
      <w:r w:rsidR="00870F15" w:rsidRPr="007F63A7">
        <w:rPr>
          <w:rFonts w:ascii="Helvetica" w:hAnsi="Helvetica" w:cs="Helvetica"/>
          <w:color w:val="333333"/>
        </w:rPr>
        <w:t>y</w:t>
      </w:r>
      <w:r w:rsidR="00C45DC4" w:rsidRPr="007F63A7">
        <w:rPr>
          <w:rFonts w:ascii="Helvetica" w:hAnsi="Helvetica" w:cs="Helvetica"/>
          <w:color w:val="333333"/>
        </w:rPr>
        <w:t xml:space="preserve"> Grecia</w:t>
      </w:r>
    </w:p>
    <w:p w14:paraId="089D278E" w14:textId="6972C033" w:rsidR="00BE5988" w:rsidRPr="00207D52" w:rsidRDefault="005B7795" w:rsidP="00B04032">
      <w:pPr>
        <w:pStyle w:val="Prrafodelista"/>
        <w:numPr>
          <w:ilvl w:val="0"/>
          <w:numId w:val="5"/>
        </w:numPr>
        <w:shd w:val="clear" w:color="auto" w:fill="FFFFFF"/>
        <w:spacing w:after="240" w:line="300" w:lineRule="atLeast"/>
        <w:ind w:left="714" w:hanging="357"/>
        <w:contextualSpacing w:val="0"/>
        <w:jc w:val="both"/>
        <w:outlineLvl w:val="0"/>
        <w:rPr>
          <w:rFonts w:ascii="Helvetica" w:hAnsi="Helvetica" w:cs="Helvetica"/>
          <w:color w:val="333333"/>
        </w:rPr>
      </w:pPr>
      <w:r w:rsidRPr="007F63A7">
        <w:rPr>
          <w:rFonts w:ascii="Helvetica" w:hAnsi="Helvetica" w:cs="Helvetica"/>
          <w:color w:val="333333"/>
        </w:rPr>
        <w:t>L</w:t>
      </w:r>
      <w:r w:rsidR="00A71549" w:rsidRPr="007F63A7">
        <w:rPr>
          <w:rFonts w:ascii="Helvetica" w:hAnsi="Helvetica" w:cs="Helvetica"/>
          <w:color w:val="333333"/>
        </w:rPr>
        <w:t xml:space="preserve">os costes económicos de la corrupción </w:t>
      </w:r>
      <w:r w:rsidR="007F63A7" w:rsidRPr="007F63A7">
        <w:rPr>
          <w:rFonts w:ascii="Helvetica" w:hAnsi="Helvetica" w:cs="Helvetica"/>
          <w:color w:val="333333"/>
        </w:rPr>
        <w:t xml:space="preserve">y el déficit de calidad institucional </w:t>
      </w:r>
      <w:r w:rsidR="00A71549" w:rsidRPr="007F63A7">
        <w:rPr>
          <w:rFonts w:ascii="Helvetica" w:hAnsi="Helvetica" w:cs="Helvetica"/>
          <w:color w:val="333333"/>
        </w:rPr>
        <w:t>van mucho más allá del montante de los fondos públicos indebidamente apropiados</w:t>
      </w:r>
      <w:r w:rsidR="007F63A7">
        <w:rPr>
          <w:rFonts w:ascii="Helvetica" w:hAnsi="Helvetica" w:cs="Helvetica"/>
          <w:color w:val="333333"/>
        </w:rPr>
        <w:t xml:space="preserve">. Frenan </w:t>
      </w:r>
      <w:r w:rsidR="00A61B18" w:rsidRPr="007F63A7">
        <w:rPr>
          <w:rFonts w:ascii="Helvetica" w:hAnsi="Helvetica" w:cs="Helvetica"/>
          <w:color w:val="333333"/>
        </w:rPr>
        <w:t>el crecimiento económico y da</w:t>
      </w:r>
      <w:r w:rsidR="007F63A7" w:rsidRPr="007F63A7">
        <w:rPr>
          <w:rFonts w:ascii="Helvetica" w:hAnsi="Helvetica" w:cs="Helvetica"/>
          <w:color w:val="333333"/>
        </w:rPr>
        <w:t>n</w:t>
      </w:r>
      <w:r w:rsidR="00A61B18" w:rsidRPr="007F63A7">
        <w:rPr>
          <w:rFonts w:ascii="Helvetica" w:hAnsi="Helvetica" w:cs="Helvetica"/>
          <w:color w:val="333333"/>
        </w:rPr>
        <w:t xml:space="preserve"> lugar a niveles de productividad, salarios y empleo inferiores a los que serían posibles con el capital humano y la tecnología disponibles</w:t>
      </w:r>
    </w:p>
    <w:p w14:paraId="4B00F413" w14:textId="16F312B2" w:rsidR="000C4443" w:rsidRPr="00C06065" w:rsidRDefault="00284AEA" w:rsidP="000C4443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b/>
          <w:color w:val="333333"/>
        </w:rPr>
        <w:t>Valè</w:t>
      </w:r>
      <w:r w:rsidR="00FA22FA">
        <w:rPr>
          <w:rFonts w:ascii="Helvetica" w:hAnsi="Helvetica" w:cs="Helvetica"/>
          <w:b/>
          <w:color w:val="333333"/>
        </w:rPr>
        <w:t>ncia</w:t>
      </w:r>
      <w:proofErr w:type="spellEnd"/>
      <w:r w:rsidR="00FA22FA">
        <w:rPr>
          <w:rFonts w:ascii="Helvetica" w:hAnsi="Helvetica" w:cs="Helvetica"/>
          <w:b/>
          <w:color w:val="333333"/>
        </w:rPr>
        <w:t xml:space="preserve">, 26 </w:t>
      </w:r>
      <w:r w:rsidR="00F31DF2">
        <w:rPr>
          <w:rFonts w:ascii="Helvetica" w:hAnsi="Helvetica" w:cs="Helvetica"/>
          <w:b/>
          <w:color w:val="333333"/>
        </w:rPr>
        <w:t>de octubre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0C4443" w:rsidRPr="00C06065">
        <w:rPr>
          <w:rFonts w:ascii="Helvetica" w:hAnsi="Helvetica" w:cs="Helvetica"/>
          <w:color w:val="333333"/>
        </w:rPr>
        <w:t>La sociedad española ha alcanzado un elevado grado de sensibilización frente a los problemas de corrupción. Sin embargo, otros aspectos de la calidad de las instituciones del país como, por ejemplo, la independencia de las comisiones regulador</w:t>
      </w:r>
      <w:r w:rsidR="00D15A92">
        <w:rPr>
          <w:rFonts w:ascii="Helvetica" w:hAnsi="Helvetica" w:cs="Helvetica"/>
          <w:color w:val="333333"/>
        </w:rPr>
        <w:t>a</w:t>
      </w:r>
      <w:r w:rsidR="000C4443" w:rsidRPr="00C06065">
        <w:rPr>
          <w:rFonts w:ascii="Helvetica" w:hAnsi="Helvetica" w:cs="Helvetica"/>
          <w:color w:val="333333"/>
        </w:rPr>
        <w:t xml:space="preserve">s de los mercados o la dotación de medios suficientes para los organismos de control, resultan lejanos a muchos ciudadanos. </w:t>
      </w:r>
    </w:p>
    <w:p w14:paraId="7B4340DC" w14:textId="71A239E0" w:rsidR="007F63A7" w:rsidRDefault="007F63A7" w:rsidP="000C4443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C06065">
        <w:rPr>
          <w:rFonts w:ascii="Helvetica" w:hAnsi="Helvetica" w:cs="Helvetica"/>
          <w:color w:val="333333"/>
        </w:rPr>
        <w:t xml:space="preserve">La calidad de </w:t>
      </w:r>
      <w:r w:rsidRPr="00E30438">
        <w:rPr>
          <w:rFonts w:ascii="Helvetica" w:hAnsi="Helvetica" w:cs="Helvetica"/>
          <w:color w:val="333333"/>
        </w:rPr>
        <w:t>l</w:t>
      </w:r>
      <w:r w:rsidRPr="00C06065">
        <w:rPr>
          <w:rFonts w:ascii="Helvetica" w:hAnsi="Helvetica" w:cs="Helvetica"/>
          <w:color w:val="333333"/>
        </w:rPr>
        <w:t xml:space="preserve">as instituciones de gobierno y el control de la corrupción son piezas fundamentales para el desarrollo económico de los países, </w:t>
      </w:r>
      <w:r w:rsidR="00F4349F">
        <w:rPr>
          <w:rFonts w:ascii="Helvetica" w:hAnsi="Helvetica" w:cs="Helvetica"/>
          <w:color w:val="333333"/>
        </w:rPr>
        <w:t>especialmente</w:t>
      </w:r>
      <w:r w:rsidRPr="00C06065">
        <w:rPr>
          <w:rFonts w:ascii="Helvetica" w:hAnsi="Helvetica" w:cs="Helvetica"/>
          <w:color w:val="333333"/>
        </w:rPr>
        <w:t xml:space="preserve"> cuanto más avanzad</w:t>
      </w:r>
      <w:r w:rsidR="00D15A92">
        <w:rPr>
          <w:rFonts w:ascii="Helvetica" w:hAnsi="Helvetica" w:cs="Helvetica"/>
          <w:color w:val="333333"/>
        </w:rPr>
        <w:t>a</w:t>
      </w:r>
      <w:r w:rsidRPr="00C06065">
        <w:rPr>
          <w:rFonts w:ascii="Helvetica" w:hAnsi="Helvetica" w:cs="Helvetica"/>
          <w:color w:val="333333"/>
        </w:rPr>
        <w:t>s son sus economías.</w:t>
      </w:r>
      <w:r w:rsidR="00207D52" w:rsidRPr="00C06065">
        <w:rPr>
          <w:rFonts w:ascii="Helvetica" w:hAnsi="Helvetica" w:cs="Helvetica"/>
          <w:color w:val="333333"/>
        </w:rPr>
        <w:t xml:space="preserve"> De esa calidad dependen buena parte de los servicios que recibe la ciudadanía y del progreso económico que cabe esperar para el futuro.</w:t>
      </w:r>
    </w:p>
    <w:p w14:paraId="1003265D" w14:textId="170AFB4C" w:rsidR="00905284" w:rsidRDefault="00FA22FA" w:rsidP="00000F5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La calidad de las instituciones de gobernanza española se sitúa entre el 2</w:t>
      </w:r>
      <w:r w:rsidR="000C4443">
        <w:rPr>
          <w:rFonts w:ascii="Helvetica" w:hAnsi="Helvetica" w:cs="Helvetica"/>
          <w:color w:val="333333"/>
        </w:rPr>
        <w:t>0</w:t>
      </w:r>
      <w:r>
        <w:rPr>
          <w:rFonts w:ascii="Helvetica" w:hAnsi="Helvetica" w:cs="Helvetica"/>
          <w:color w:val="333333"/>
        </w:rPr>
        <w:t>% de los país</w:t>
      </w:r>
      <w:r w:rsidR="00863E40">
        <w:rPr>
          <w:rFonts w:ascii="Helvetica" w:hAnsi="Helvetica" w:cs="Helvetica"/>
          <w:color w:val="333333"/>
        </w:rPr>
        <w:t>es con</w:t>
      </w:r>
      <w:r w:rsidR="00D564A8">
        <w:rPr>
          <w:rFonts w:ascii="Helvetica" w:hAnsi="Helvetica" w:cs="Helvetica"/>
          <w:color w:val="333333"/>
        </w:rPr>
        <w:t xml:space="preserve"> un mayor nivel en </w:t>
      </w:r>
      <w:r w:rsidR="00863E40">
        <w:rPr>
          <w:rFonts w:ascii="Helvetica" w:hAnsi="Helvetica" w:cs="Helvetica"/>
          <w:color w:val="333333"/>
        </w:rPr>
        <w:t xml:space="preserve">el mundo, según los indicadores </w:t>
      </w:r>
      <w:r w:rsidR="001A6A4F">
        <w:rPr>
          <w:rFonts w:ascii="Helvetica" w:hAnsi="Helvetica" w:cs="Helvetica"/>
          <w:color w:val="333333"/>
        </w:rPr>
        <w:t xml:space="preserve">del </w:t>
      </w:r>
      <w:proofErr w:type="spellStart"/>
      <w:r w:rsidR="00863E40">
        <w:rPr>
          <w:rFonts w:ascii="Helvetica" w:hAnsi="Helvetica" w:cs="Helvetica"/>
          <w:color w:val="333333"/>
        </w:rPr>
        <w:t>Worldwide</w:t>
      </w:r>
      <w:proofErr w:type="spellEnd"/>
      <w:r w:rsidR="00863E40">
        <w:rPr>
          <w:rFonts w:ascii="Helvetica" w:hAnsi="Helvetica" w:cs="Helvetica"/>
          <w:color w:val="333333"/>
        </w:rPr>
        <w:t xml:space="preserve"> </w:t>
      </w:r>
      <w:proofErr w:type="spellStart"/>
      <w:r w:rsidR="00B8168E">
        <w:rPr>
          <w:rFonts w:ascii="Helvetica" w:hAnsi="Helvetica" w:cs="Helvetica"/>
          <w:color w:val="333333"/>
        </w:rPr>
        <w:lastRenderedPageBreak/>
        <w:t>Governance</w:t>
      </w:r>
      <w:proofErr w:type="spellEnd"/>
      <w:r w:rsidR="00B8168E">
        <w:rPr>
          <w:rFonts w:ascii="Helvetica" w:hAnsi="Helvetica" w:cs="Helvetica"/>
          <w:color w:val="333333"/>
        </w:rPr>
        <w:t xml:space="preserve"> </w:t>
      </w:r>
      <w:proofErr w:type="spellStart"/>
      <w:r w:rsidR="00FD586B">
        <w:rPr>
          <w:rFonts w:ascii="Helvetica" w:hAnsi="Helvetica" w:cs="Helvetica"/>
          <w:color w:val="333333"/>
        </w:rPr>
        <w:t>Indicator</w:t>
      </w:r>
      <w:r w:rsidR="001A6A4F">
        <w:rPr>
          <w:rFonts w:ascii="Helvetica" w:hAnsi="Helvetica" w:cs="Helvetica"/>
          <w:color w:val="333333"/>
        </w:rPr>
        <w:t>s</w:t>
      </w:r>
      <w:proofErr w:type="spellEnd"/>
      <w:r w:rsidR="00FD586B">
        <w:rPr>
          <w:rFonts w:ascii="Helvetica" w:hAnsi="Helvetica" w:cs="Helvetica"/>
          <w:color w:val="333333"/>
        </w:rPr>
        <w:t xml:space="preserve"> (WGI), elaborados para el Banco Mundial y con información sobre 15</w:t>
      </w:r>
      <w:r w:rsidR="00DA58B4">
        <w:rPr>
          <w:rFonts w:ascii="Helvetica" w:hAnsi="Helvetica" w:cs="Helvetica"/>
          <w:color w:val="333333"/>
        </w:rPr>
        <w:t>4</w:t>
      </w:r>
      <w:r w:rsidR="00FD586B">
        <w:rPr>
          <w:rFonts w:ascii="Helvetica" w:hAnsi="Helvetica" w:cs="Helvetica"/>
          <w:color w:val="333333"/>
        </w:rPr>
        <w:t xml:space="preserve"> países</w:t>
      </w:r>
      <w:r w:rsidR="00863E40">
        <w:rPr>
          <w:rFonts w:ascii="Helvetica" w:hAnsi="Helvetica" w:cs="Helvetica"/>
          <w:color w:val="333333"/>
        </w:rPr>
        <w:t>. Sin embargo, los resultados que obtiene España se sitúan por debajo de lo que le correspondería de acuer</w:t>
      </w:r>
      <w:r w:rsidR="00FD586B">
        <w:rPr>
          <w:rFonts w:ascii="Helvetica" w:hAnsi="Helvetica" w:cs="Helvetica"/>
          <w:color w:val="333333"/>
        </w:rPr>
        <w:t>do con e</w:t>
      </w:r>
      <w:r w:rsidR="00863E40">
        <w:rPr>
          <w:rFonts w:ascii="Helvetica" w:hAnsi="Helvetica" w:cs="Helvetica"/>
          <w:color w:val="333333"/>
        </w:rPr>
        <w:t>l desarrollo de su economía.</w:t>
      </w:r>
      <w:r w:rsidR="00905284">
        <w:rPr>
          <w:rFonts w:ascii="Helvetica" w:hAnsi="Helvetica" w:cs="Helvetica"/>
          <w:color w:val="333333"/>
        </w:rPr>
        <w:t xml:space="preserve"> </w:t>
      </w:r>
      <w:r w:rsidR="000C4443">
        <w:rPr>
          <w:rFonts w:ascii="Helvetica" w:hAnsi="Helvetica" w:cs="Helvetica"/>
          <w:color w:val="333333"/>
        </w:rPr>
        <w:t>España obtiene un valor de 6,8 sobre 10 en el indicador combinado de calidad institucional</w:t>
      </w:r>
      <w:r w:rsidR="000C4443" w:rsidRPr="00F73795">
        <w:rPr>
          <w:rFonts w:ascii="Helvetica" w:hAnsi="Helvetica" w:cs="Helvetica"/>
          <w:color w:val="333333"/>
        </w:rPr>
        <w:t>, frente al 8 de la media de Alemania, Francia y Reino Unido</w:t>
      </w:r>
      <w:r w:rsidR="000C4443">
        <w:rPr>
          <w:rFonts w:ascii="Helvetica" w:hAnsi="Helvetica" w:cs="Helvetica"/>
          <w:color w:val="333333"/>
        </w:rPr>
        <w:t>,</w:t>
      </w:r>
      <w:r w:rsidR="000C4443" w:rsidRPr="00F73795">
        <w:rPr>
          <w:rFonts w:ascii="Helvetica" w:hAnsi="Helvetica" w:cs="Helvetica"/>
          <w:color w:val="333333"/>
        </w:rPr>
        <w:t xml:space="preserve"> </w:t>
      </w:r>
      <w:r w:rsidR="000C4443">
        <w:rPr>
          <w:rFonts w:ascii="Helvetica" w:hAnsi="Helvetica" w:cs="Helvetica"/>
          <w:color w:val="333333"/>
        </w:rPr>
        <w:t>que constituyen modelos de economía avanzada. Ahora bien, se sitúa así mismo por delante de otras economías mediterráneas  como la italiana y la griega, cuya calidad institucional promedio apenas alcanza un valor de 5,8.</w:t>
      </w:r>
    </w:p>
    <w:p w14:paraId="63E384F7" w14:textId="11B781B7" w:rsidR="00BE5988" w:rsidRDefault="0098556B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informe </w:t>
      </w:r>
      <w:r w:rsidRPr="0032065F">
        <w:rPr>
          <w:rFonts w:ascii="Helvetica" w:hAnsi="Helvetica" w:cs="Helvetica"/>
          <w:i/>
          <w:color w:val="333333"/>
        </w:rPr>
        <w:t xml:space="preserve">Los costes económicos del déficit de calidad institucional y la corrupción en España, </w:t>
      </w:r>
      <w:r>
        <w:rPr>
          <w:rFonts w:ascii="Helvetica" w:hAnsi="Helvetica" w:cs="Helvetica"/>
          <w:color w:val="333333"/>
        </w:rPr>
        <w:t xml:space="preserve">elaborado en el marco de colaboración de la Fundación BBVA y el Ivie, extrae ese indicador combinado de calidad como un promedio de cinco indicadores que </w:t>
      </w:r>
      <w:r w:rsidR="001D4BB0">
        <w:rPr>
          <w:rFonts w:ascii="Helvetica" w:hAnsi="Helvetica" w:cs="Helvetica"/>
          <w:color w:val="333333"/>
        </w:rPr>
        <w:t>proporciona</w:t>
      </w:r>
      <w:r>
        <w:rPr>
          <w:rFonts w:ascii="Helvetica" w:hAnsi="Helvetica" w:cs="Helvetica"/>
          <w:color w:val="333333"/>
        </w:rPr>
        <w:t xml:space="preserve"> el WGI. En concreto, se analiza la voz y rendición de cuentas (</w:t>
      </w:r>
      <w:r w:rsidR="00840024">
        <w:rPr>
          <w:rFonts w:ascii="Helvetica" w:hAnsi="Helvetica" w:cs="Helvetica"/>
          <w:color w:val="333333"/>
        </w:rPr>
        <w:t>democracia y libertades públicas</w:t>
      </w:r>
      <w:r>
        <w:rPr>
          <w:rFonts w:ascii="Helvetica" w:hAnsi="Helvetica" w:cs="Helvetica"/>
          <w:color w:val="333333"/>
        </w:rPr>
        <w:t xml:space="preserve">), </w:t>
      </w:r>
      <w:r w:rsidR="00E9577B">
        <w:rPr>
          <w:rFonts w:ascii="Helvetica" w:hAnsi="Helvetica" w:cs="Helvetica"/>
          <w:color w:val="333333"/>
        </w:rPr>
        <w:t xml:space="preserve">la </w:t>
      </w:r>
      <w:r>
        <w:rPr>
          <w:rFonts w:ascii="Helvetica" w:hAnsi="Helvetica" w:cs="Helvetica"/>
          <w:color w:val="333333"/>
        </w:rPr>
        <w:t xml:space="preserve">efectividad gubernamental, </w:t>
      </w:r>
      <w:r w:rsidR="00E9577B">
        <w:rPr>
          <w:rFonts w:ascii="Helvetica" w:hAnsi="Helvetica" w:cs="Helvetica"/>
          <w:color w:val="333333"/>
        </w:rPr>
        <w:t xml:space="preserve">la </w:t>
      </w:r>
      <w:r>
        <w:rPr>
          <w:rFonts w:ascii="Helvetica" w:hAnsi="Helvetica" w:cs="Helvetica"/>
          <w:color w:val="333333"/>
        </w:rPr>
        <w:t xml:space="preserve">calidad regulatoria, </w:t>
      </w:r>
      <w:r w:rsidR="00E9577B">
        <w:rPr>
          <w:rFonts w:ascii="Helvetica" w:hAnsi="Helvetica" w:cs="Helvetica"/>
          <w:color w:val="333333"/>
        </w:rPr>
        <w:t xml:space="preserve">el </w:t>
      </w:r>
      <w:r w:rsidR="004B7E8D">
        <w:rPr>
          <w:rFonts w:ascii="Helvetica" w:hAnsi="Helvetica" w:cs="Helvetica"/>
          <w:color w:val="333333"/>
        </w:rPr>
        <w:t>respeto a</w:t>
      </w:r>
      <w:r>
        <w:rPr>
          <w:rFonts w:ascii="Helvetica" w:hAnsi="Helvetica" w:cs="Helvetica"/>
          <w:color w:val="333333"/>
        </w:rPr>
        <w:t xml:space="preserve"> ley y los contratos y, por último, </w:t>
      </w:r>
      <w:r w:rsidR="00E9577B">
        <w:rPr>
          <w:rFonts w:ascii="Helvetica" w:hAnsi="Helvetica" w:cs="Helvetica"/>
          <w:color w:val="333333"/>
        </w:rPr>
        <w:t xml:space="preserve">el </w:t>
      </w:r>
      <w:r>
        <w:rPr>
          <w:rFonts w:ascii="Helvetica" w:hAnsi="Helvetica" w:cs="Helvetica"/>
          <w:color w:val="333333"/>
        </w:rPr>
        <w:t>control de la corrupción.</w:t>
      </w:r>
      <w:r w:rsidR="00BE5988">
        <w:rPr>
          <w:rFonts w:ascii="Helvetica" w:hAnsi="Helvetica" w:cs="Helvetica"/>
          <w:color w:val="333333"/>
        </w:rPr>
        <w:t xml:space="preserve"> </w:t>
      </w:r>
      <w:r w:rsidR="00BE5988" w:rsidRPr="00F4349F">
        <w:rPr>
          <w:rFonts w:ascii="Helvetica" w:hAnsi="Helvetica" w:cs="Helvetica"/>
          <w:color w:val="333333"/>
        </w:rPr>
        <w:t>El nivel de calidad institucional que se obtiene según el indicador combi</w:t>
      </w:r>
      <w:r w:rsidR="00693B7B" w:rsidRPr="00F4349F">
        <w:rPr>
          <w:rFonts w:ascii="Helvetica" w:hAnsi="Helvetica" w:cs="Helvetica"/>
          <w:color w:val="333333"/>
        </w:rPr>
        <w:t>nado de los WGI sitúa a España</w:t>
      </w:r>
      <w:r w:rsidR="00BE5988" w:rsidRPr="00F4349F">
        <w:rPr>
          <w:rFonts w:ascii="Helvetica" w:hAnsi="Helvetica" w:cs="Helvetica"/>
          <w:color w:val="333333"/>
        </w:rPr>
        <w:t xml:space="preserve"> </w:t>
      </w:r>
      <w:r w:rsidR="00D90A3A" w:rsidRPr="00F4349F">
        <w:rPr>
          <w:rFonts w:ascii="Helvetica" w:hAnsi="Helvetica" w:cs="Helvetica"/>
          <w:color w:val="333333"/>
        </w:rPr>
        <w:t>en torno al percentil 81</w:t>
      </w:r>
      <w:r w:rsidR="00693B7B" w:rsidRPr="00F4349F">
        <w:rPr>
          <w:rFonts w:ascii="Helvetica" w:hAnsi="Helvetica" w:cs="Helvetica"/>
          <w:color w:val="333333"/>
        </w:rPr>
        <w:t xml:space="preserve"> (es decir, entre el 20% de países con mejor calidad a nivel mundial). Ahora bien, la productividad española </w:t>
      </w:r>
      <w:r w:rsidR="00BE37F0" w:rsidRPr="00F4349F">
        <w:rPr>
          <w:rFonts w:ascii="Helvetica" w:hAnsi="Helvetica" w:cs="Helvetica"/>
          <w:color w:val="333333"/>
        </w:rPr>
        <w:t xml:space="preserve">figura notablemente más arriba, en </w:t>
      </w:r>
      <w:r w:rsidR="00D90A3A" w:rsidRPr="00F4349F">
        <w:rPr>
          <w:rFonts w:ascii="Helvetica" w:hAnsi="Helvetica" w:cs="Helvetica"/>
          <w:color w:val="333333"/>
        </w:rPr>
        <w:t>torno al percentil 85</w:t>
      </w:r>
      <w:r w:rsidR="00024175" w:rsidRPr="00F4349F">
        <w:rPr>
          <w:rFonts w:ascii="Helvetica" w:hAnsi="Helvetica" w:cs="Helvetica"/>
          <w:color w:val="333333"/>
        </w:rPr>
        <w:t xml:space="preserve"> (el país más productivo del mundo ocupa el percentil 100 y el menos productivo ocupa el percentil 1)</w:t>
      </w:r>
      <w:r w:rsidR="00693B7B" w:rsidRPr="00F4349F">
        <w:rPr>
          <w:rFonts w:ascii="Helvetica" w:hAnsi="Helvetica" w:cs="Helvetica"/>
          <w:color w:val="333333"/>
        </w:rPr>
        <w:t xml:space="preserve">. </w:t>
      </w:r>
      <w:r w:rsidR="00BE37F0" w:rsidRPr="00F4349F">
        <w:rPr>
          <w:rFonts w:ascii="Helvetica" w:hAnsi="Helvetica" w:cs="Helvetica"/>
          <w:color w:val="333333"/>
        </w:rPr>
        <w:t>L</w:t>
      </w:r>
      <w:r w:rsidR="00693B7B" w:rsidRPr="00F4349F">
        <w:rPr>
          <w:rFonts w:ascii="Helvetica" w:hAnsi="Helvetica" w:cs="Helvetica"/>
          <w:color w:val="333333"/>
        </w:rPr>
        <w:t>a</w:t>
      </w:r>
      <w:r w:rsidR="00BE37F0" w:rsidRPr="00F4349F">
        <w:rPr>
          <w:rFonts w:ascii="Helvetica" w:hAnsi="Helvetica" w:cs="Helvetica"/>
          <w:color w:val="333333"/>
        </w:rPr>
        <w:t xml:space="preserve"> calidad institucional aparece, pues, </w:t>
      </w:r>
      <w:r w:rsidR="00693B7B" w:rsidRPr="00F4349F">
        <w:rPr>
          <w:rFonts w:ascii="Helvetica" w:hAnsi="Helvetica" w:cs="Helvetica"/>
          <w:color w:val="333333"/>
        </w:rPr>
        <w:t>como una debilidad relativa de la economía española</w:t>
      </w:r>
      <w:r w:rsidR="004365F9" w:rsidRPr="00F4349F">
        <w:rPr>
          <w:rFonts w:ascii="Helvetica" w:hAnsi="Helvetica" w:cs="Helvetica"/>
          <w:color w:val="333333"/>
        </w:rPr>
        <w:t>. Esa debilidad</w:t>
      </w:r>
      <w:r w:rsidR="00693B7B" w:rsidRPr="00F4349F">
        <w:rPr>
          <w:rFonts w:ascii="Helvetica" w:hAnsi="Helvetica" w:cs="Helvetica"/>
          <w:color w:val="333333"/>
        </w:rPr>
        <w:t xml:space="preserve"> debe ser compensada por la fortalezas en otros factores (como podría ser su capital humano). Si todos los factores productivos de la economía española se situasen </w:t>
      </w:r>
      <w:r w:rsidR="00BE37F0" w:rsidRPr="00F4349F">
        <w:rPr>
          <w:rFonts w:ascii="Helvetica" w:hAnsi="Helvetica" w:cs="Helvetica"/>
          <w:color w:val="333333"/>
        </w:rPr>
        <w:t xml:space="preserve">en ese nivel relativo </w:t>
      </w:r>
      <w:r w:rsidR="00693B7B" w:rsidRPr="00F4349F">
        <w:rPr>
          <w:rFonts w:ascii="Helvetica" w:hAnsi="Helvetica" w:cs="Helvetica"/>
          <w:color w:val="333333"/>
        </w:rPr>
        <w:t xml:space="preserve">de la calidad institucional (es decir, </w:t>
      </w:r>
      <w:r w:rsidR="00BE37F0" w:rsidRPr="00F4349F">
        <w:rPr>
          <w:rFonts w:ascii="Helvetica" w:hAnsi="Helvetica" w:cs="Helvetica"/>
          <w:color w:val="333333"/>
        </w:rPr>
        <w:t xml:space="preserve">si se situasen </w:t>
      </w:r>
      <w:r w:rsidR="00D90A3A" w:rsidRPr="00F4349F">
        <w:rPr>
          <w:rFonts w:ascii="Helvetica" w:hAnsi="Helvetica" w:cs="Helvetica"/>
          <w:color w:val="333333"/>
        </w:rPr>
        <w:t>en el percentil 81</w:t>
      </w:r>
      <w:r w:rsidR="00693B7B" w:rsidRPr="00F4349F">
        <w:rPr>
          <w:rFonts w:ascii="Helvetica" w:hAnsi="Helvetica" w:cs="Helvetica"/>
          <w:color w:val="333333"/>
        </w:rPr>
        <w:t xml:space="preserve"> de su distribución mundial), </w:t>
      </w:r>
      <w:r w:rsidR="00BE37F0" w:rsidRPr="00F4349F">
        <w:rPr>
          <w:rFonts w:ascii="Helvetica" w:hAnsi="Helvetica" w:cs="Helvetica"/>
          <w:color w:val="333333"/>
        </w:rPr>
        <w:t>la productividad de la economía</w:t>
      </w:r>
      <w:r w:rsidR="00693B7B" w:rsidRPr="00F4349F">
        <w:rPr>
          <w:rFonts w:ascii="Helvetica" w:hAnsi="Helvetica" w:cs="Helvetica"/>
          <w:color w:val="333333"/>
        </w:rPr>
        <w:t xml:space="preserve"> española sería un </w:t>
      </w:r>
      <w:r w:rsidR="00BE5988" w:rsidRPr="00F4349F">
        <w:rPr>
          <w:rFonts w:ascii="Helvetica" w:hAnsi="Helvetica" w:cs="Helvetica"/>
          <w:color w:val="333333"/>
        </w:rPr>
        <w:t>1</w:t>
      </w:r>
      <w:r w:rsidR="00DA58B4" w:rsidRPr="00F4349F">
        <w:rPr>
          <w:rFonts w:ascii="Helvetica" w:hAnsi="Helvetica" w:cs="Helvetica"/>
          <w:color w:val="333333"/>
        </w:rPr>
        <w:t>7</w:t>
      </w:r>
      <w:r w:rsidR="00BE5988" w:rsidRPr="00F4349F">
        <w:rPr>
          <w:rFonts w:ascii="Helvetica" w:hAnsi="Helvetica" w:cs="Helvetica"/>
          <w:color w:val="333333"/>
        </w:rPr>
        <w:t>%</w:t>
      </w:r>
      <w:r w:rsidR="00693B7B" w:rsidRPr="00F4349F">
        <w:rPr>
          <w:rFonts w:ascii="Helvetica" w:hAnsi="Helvetica" w:cs="Helvetica"/>
          <w:color w:val="333333"/>
        </w:rPr>
        <w:t xml:space="preserve"> inferior</w:t>
      </w:r>
      <w:r w:rsidR="00BE37F0" w:rsidRPr="00F4349F">
        <w:rPr>
          <w:rFonts w:ascii="Helvetica" w:hAnsi="Helvetica" w:cs="Helvetica"/>
          <w:color w:val="333333"/>
        </w:rPr>
        <w:t xml:space="preserve">. Esto nos </w:t>
      </w:r>
      <w:r w:rsidR="004365F9" w:rsidRPr="00F4349F">
        <w:rPr>
          <w:rFonts w:ascii="Helvetica" w:hAnsi="Helvetica" w:cs="Helvetica"/>
          <w:color w:val="333333"/>
        </w:rPr>
        <w:t xml:space="preserve">dejaría </w:t>
      </w:r>
      <w:r w:rsidR="00693B7B" w:rsidRPr="00F4349F">
        <w:rPr>
          <w:rFonts w:ascii="Helvetica" w:hAnsi="Helvetica" w:cs="Helvetica"/>
          <w:color w:val="333333"/>
        </w:rPr>
        <w:t>en los niveles</w:t>
      </w:r>
      <w:r w:rsidR="00BE37F0" w:rsidRPr="00F4349F">
        <w:rPr>
          <w:rFonts w:ascii="Helvetica" w:hAnsi="Helvetica" w:cs="Helvetica"/>
          <w:color w:val="333333"/>
        </w:rPr>
        <w:t>,</w:t>
      </w:r>
      <w:r w:rsidR="00693B7B" w:rsidRPr="00F4349F">
        <w:rPr>
          <w:rFonts w:ascii="Helvetica" w:hAnsi="Helvetica" w:cs="Helvetica"/>
          <w:color w:val="333333"/>
        </w:rPr>
        <w:t xml:space="preserve"> por ejemplo, de </w:t>
      </w:r>
      <w:r w:rsidR="00DA58B4" w:rsidRPr="00F4349F">
        <w:rPr>
          <w:rFonts w:ascii="Helvetica" w:hAnsi="Helvetica" w:cs="Helvetica"/>
          <w:color w:val="333333"/>
        </w:rPr>
        <w:t>Eslovenia.</w:t>
      </w:r>
    </w:p>
    <w:p w14:paraId="2A70E700" w14:textId="0E183055" w:rsidR="00BE5988" w:rsidRDefault="00BE5988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El país presenta su mejor desempeño en la</w:t>
      </w:r>
      <w:r w:rsidR="00840024">
        <w:rPr>
          <w:rFonts w:ascii="Helvetica" w:hAnsi="Helvetica" w:cs="Helvetica"/>
          <w:color w:val="333333"/>
        </w:rPr>
        <w:t>s</w:t>
      </w:r>
      <w:r>
        <w:rPr>
          <w:rFonts w:ascii="Helvetica" w:hAnsi="Helvetica" w:cs="Helvetica"/>
          <w:color w:val="333333"/>
        </w:rPr>
        <w:t xml:space="preserve"> categoría</w:t>
      </w:r>
      <w:r w:rsidR="00840024">
        <w:rPr>
          <w:rFonts w:ascii="Helvetica" w:hAnsi="Helvetica" w:cs="Helvetica"/>
          <w:color w:val="333333"/>
        </w:rPr>
        <w:t>s</w:t>
      </w:r>
      <w:r>
        <w:rPr>
          <w:rFonts w:ascii="Helvetica" w:hAnsi="Helvetica" w:cs="Helvetica"/>
          <w:color w:val="333333"/>
        </w:rPr>
        <w:t xml:space="preserve"> de </w:t>
      </w:r>
      <w:r w:rsidRPr="00F4349F">
        <w:rPr>
          <w:rFonts w:ascii="Helvetica" w:hAnsi="Helvetica" w:cs="Helvetica"/>
          <w:b/>
          <w:color w:val="333333"/>
        </w:rPr>
        <w:t>voz y rendición de cuentas</w:t>
      </w:r>
      <w:r w:rsidR="00F73859">
        <w:rPr>
          <w:rFonts w:ascii="Helvetica" w:hAnsi="Helvetica" w:cs="Helvetica"/>
          <w:color w:val="333333"/>
        </w:rPr>
        <w:t xml:space="preserve">, </w:t>
      </w:r>
      <w:r w:rsidR="00F73859" w:rsidRPr="00F4349F">
        <w:rPr>
          <w:rFonts w:ascii="Helvetica" w:hAnsi="Helvetica" w:cs="Helvetica"/>
          <w:b/>
          <w:color w:val="333333"/>
        </w:rPr>
        <w:t>cumplimiento de la ley y los contratos</w:t>
      </w:r>
      <w:r w:rsidR="00F73859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y </w:t>
      </w:r>
      <w:r w:rsidR="00836CAA" w:rsidRPr="00F4349F">
        <w:rPr>
          <w:rFonts w:ascii="Helvetica" w:hAnsi="Helvetica" w:cs="Helvetica"/>
          <w:b/>
          <w:color w:val="333333"/>
        </w:rPr>
        <w:t>efectividad del gobierno</w:t>
      </w:r>
      <w:r w:rsidR="00836CAA"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t xml:space="preserve"> Sin embargo, las </w:t>
      </w:r>
      <w:r w:rsidR="00840024">
        <w:rPr>
          <w:rFonts w:ascii="Helvetica" w:hAnsi="Helvetica" w:cs="Helvetica"/>
          <w:color w:val="333333"/>
        </w:rPr>
        <w:t xml:space="preserve">mayores </w:t>
      </w:r>
      <w:r>
        <w:rPr>
          <w:rFonts w:ascii="Helvetica" w:hAnsi="Helvetica" w:cs="Helvetica"/>
          <w:color w:val="333333"/>
        </w:rPr>
        <w:t xml:space="preserve">debilidades aparecen en los indicadores sobre </w:t>
      </w:r>
      <w:r w:rsidRPr="00F4349F">
        <w:rPr>
          <w:rFonts w:ascii="Helvetica" w:hAnsi="Helvetica" w:cs="Helvetica"/>
          <w:b/>
          <w:color w:val="333333"/>
        </w:rPr>
        <w:t>calidad regulatoria</w:t>
      </w:r>
      <w:r>
        <w:rPr>
          <w:rFonts w:ascii="Helvetica" w:hAnsi="Helvetica" w:cs="Helvetica"/>
          <w:color w:val="333333"/>
        </w:rPr>
        <w:t>, donde se sitúa 1,</w:t>
      </w:r>
      <w:r w:rsidR="00F73859">
        <w:rPr>
          <w:rFonts w:ascii="Helvetica" w:hAnsi="Helvetica" w:cs="Helvetica"/>
          <w:color w:val="333333"/>
        </w:rPr>
        <w:t>2</w:t>
      </w:r>
      <w:r>
        <w:rPr>
          <w:rFonts w:ascii="Helvetica" w:hAnsi="Helvetica" w:cs="Helvetica"/>
          <w:color w:val="333333"/>
        </w:rPr>
        <w:t xml:space="preserve"> puntos por debajo de Alemania, Francia y Reino Unido</w:t>
      </w:r>
      <w:r w:rsidR="00840024">
        <w:rPr>
          <w:rFonts w:ascii="Helvetica" w:hAnsi="Helvetica" w:cs="Helvetica"/>
          <w:color w:val="333333"/>
        </w:rPr>
        <w:t xml:space="preserve">, </w:t>
      </w:r>
      <w:r>
        <w:rPr>
          <w:rFonts w:ascii="Helvetica" w:hAnsi="Helvetica" w:cs="Helvetica"/>
          <w:color w:val="333333"/>
        </w:rPr>
        <w:t xml:space="preserve">y, sobre todo, en </w:t>
      </w:r>
      <w:r w:rsidRPr="00F4349F">
        <w:rPr>
          <w:rFonts w:ascii="Helvetica" w:hAnsi="Helvetica" w:cs="Helvetica"/>
          <w:b/>
          <w:color w:val="333333"/>
        </w:rPr>
        <w:t>control de la corrupción</w:t>
      </w:r>
      <w:r>
        <w:rPr>
          <w:rFonts w:ascii="Helvetica" w:hAnsi="Helvetica" w:cs="Helvetica"/>
          <w:color w:val="333333"/>
        </w:rPr>
        <w:t xml:space="preserve"> (2,3 puntos </w:t>
      </w:r>
      <w:r w:rsidR="00F73859">
        <w:rPr>
          <w:rFonts w:ascii="Helvetica" w:hAnsi="Helvetica" w:cs="Helvetica"/>
          <w:color w:val="333333"/>
        </w:rPr>
        <w:t>por debajo</w:t>
      </w:r>
      <w:r>
        <w:rPr>
          <w:rFonts w:ascii="Helvetica" w:hAnsi="Helvetica" w:cs="Helvetica"/>
          <w:color w:val="333333"/>
        </w:rPr>
        <w:t>)</w:t>
      </w:r>
      <w:r w:rsidR="00836CAA">
        <w:rPr>
          <w:rFonts w:ascii="Helvetica" w:hAnsi="Helvetica" w:cs="Helvetica"/>
          <w:color w:val="333333"/>
        </w:rPr>
        <w:t>. E</w:t>
      </w:r>
      <w:r>
        <w:rPr>
          <w:rFonts w:ascii="Helvetica" w:hAnsi="Helvetica" w:cs="Helvetica"/>
          <w:color w:val="333333"/>
        </w:rPr>
        <w:t>ste último indicador  mide la confianza en los políticos, los funcionarios, el sistema judicial, el sistema de recaudación de impuestos y la existencia de pagos irregulares en contratos públicos.</w:t>
      </w:r>
      <w:r w:rsidR="0098556B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En la comparativa mundial, España aparece</w:t>
      </w:r>
      <w:r w:rsidR="005A30DD">
        <w:rPr>
          <w:rFonts w:ascii="Helvetica" w:hAnsi="Helvetica" w:cs="Helvetica"/>
          <w:color w:val="333333"/>
        </w:rPr>
        <w:t xml:space="preserve"> en el percentil 75, que es el que corresponde a una productividad por ocupado inferior en un 23% a la de la economía española</w:t>
      </w:r>
      <w:r w:rsidR="00BA4EF9">
        <w:rPr>
          <w:rFonts w:ascii="Helvetica" w:hAnsi="Helvetica" w:cs="Helvetica"/>
          <w:color w:val="333333"/>
        </w:rPr>
        <w:t xml:space="preserve"> (</w:t>
      </w:r>
      <w:r w:rsidR="005A30DD">
        <w:rPr>
          <w:rFonts w:ascii="Helvetica" w:hAnsi="Helvetica" w:cs="Helvetica"/>
          <w:color w:val="333333"/>
        </w:rPr>
        <w:t>en los niveles</w:t>
      </w:r>
      <w:r w:rsidR="00BA4EF9">
        <w:rPr>
          <w:rFonts w:ascii="Helvetica" w:hAnsi="Helvetica" w:cs="Helvetica"/>
          <w:color w:val="333333"/>
        </w:rPr>
        <w:t>, por ejemplo,</w:t>
      </w:r>
      <w:r w:rsidR="005A30DD">
        <w:rPr>
          <w:rFonts w:ascii="Helvetica" w:hAnsi="Helvetica" w:cs="Helvetica"/>
          <w:color w:val="333333"/>
        </w:rPr>
        <w:t xml:space="preserve"> de Eslovaquia</w:t>
      </w:r>
      <w:r w:rsidR="00BA4EF9">
        <w:rPr>
          <w:rFonts w:ascii="Helvetica" w:hAnsi="Helvetica" w:cs="Helvetica"/>
          <w:color w:val="333333"/>
        </w:rPr>
        <w:t>)</w:t>
      </w:r>
      <w:r>
        <w:rPr>
          <w:rFonts w:ascii="Helvetica" w:hAnsi="Helvetica" w:cs="Helvetica"/>
          <w:color w:val="333333"/>
        </w:rPr>
        <w:t>.</w:t>
      </w:r>
    </w:p>
    <w:p w14:paraId="485ABAB9" w14:textId="7CCC2AC8" w:rsidR="007C0BFF" w:rsidRDefault="00BA4EF9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Por su parte, la calidad regulatoria</w:t>
      </w:r>
      <w:r w:rsidR="007C0BFF">
        <w:rPr>
          <w:rFonts w:ascii="Helvetica" w:hAnsi="Helvetica" w:cs="Helvetica"/>
          <w:color w:val="333333"/>
        </w:rPr>
        <w:t xml:space="preserve"> recoge aspectos como el exceso de regulación y sus costes para las empresas, la facilidad para iniciar negocios, </w:t>
      </w:r>
      <w:r w:rsidR="00FD586B">
        <w:rPr>
          <w:rFonts w:ascii="Helvetica" w:hAnsi="Helvetica" w:cs="Helvetica"/>
          <w:color w:val="333333"/>
        </w:rPr>
        <w:t xml:space="preserve">la existencia de </w:t>
      </w:r>
      <w:r w:rsidR="007C0BFF">
        <w:rPr>
          <w:rFonts w:ascii="Helvetica" w:hAnsi="Helvetica" w:cs="Helvetica"/>
          <w:color w:val="333333"/>
        </w:rPr>
        <w:t>posibles impuestos discriminatorios, controles de precios y</w:t>
      </w:r>
      <w:r w:rsidR="00FD586B">
        <w:rPr>
          <w:rFonts w:ascii="Helvetica" w:hAnsi="Helvetica" w:cs="Helvetica"/>
          <w:color w:val="333333"/>
        </w:rPr>
        <w:t xml:space="preserve"> la</w:t>
      </w:r>
      <w:r w:rsidR="002C6C1B">
        <w:rPr>
          <w:rFonts w:ascii="Helvetica" w:hAnsi="Helvetica" w:cs="Helvetica"/>
          <w:color w:val="333333"/>
        </w:rPr>
        <w:t xml:space="preserve"> libre competencia.</w:t>
      </w:r>
      <w:r w:rsidR="005240D2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En este caso, </w:t>
      </w:r>
      <w:r w:rsidR="005240D2">
        <w:rPr>
          <w:rFonts w:ascii="Helvetica" w:hAnsi="Helvetica" w:cs="Helvetica"/>
          <w:color w:val="333333"/>
        </w:rPr>
        <w:t>España se sitúa en el percentil 79 de la distribución mundial, lo que corresponde a una productividad por ocupado inferior en un 21% a la de la economía española</w:t>
      </w:r>
      <w:r>
        <w:rPr>
          <w:rFonts w:ascii="Helvetica" w:hAnsi="Helvetica" w:cs="Helvetica"/>
          <w:color w:val="333333"/>
        </w:rPr>
        <w:t>, lo que equipararía a España con, por ejemplo,</w:t>
      </w:r>
      <w:r w:rsidR="005240D2">
        <w:rPr>
          <w:rFonts w:ascii="Helvetica" w:hAnsi="Helvetica" w:cs="Helvetica"/>
          <w:color w:val="333333"/>
        </w:rPr>
        <w:t xml:space="preserve"> Grecia y </w:t>
      </w:r>
      <w:r>
        <w:rPr>
          <w:rFonts w:ascii="Helvetica" w:hAnsi="Helvetica" w:cs="Helvetica"/>
          <w:color w:val="333333"/>
        </w:rPr>
        <w:t xml:space="preserve">la </w:t>
      </w:r>
      <w:r w:rsidR="005240D2">
        <w:rPr>
          <w:rFonts w:ascii="Helvetica" w:hAnsi="Helvetica" w:cs="Helvetica"/>
          <w:color w:val="333333"/>
        </w:rPr>
        <w:t>República Checa</w:t>
      </w:r>
      <w:r w:rsidR="007C0BFF">
        <w:rPr>
          <w:rFonts w:ascii="Helvetica" w:hAnsi="Helvetica" w:cs="Helvetica"/>
          <w:color w:val="333333"/>
        </w:rPr>
        <w:t>.</w:t>
      </w:r>
    </w:p>
    <w:p w14:paraId="3ACA7B81" w14:textId="6DFF9B97" w:rsidR="000747A1" w:rsidRDefault="00B04032" w:rsidP="004A6727">
      <w:pPr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br w:type="page"/>
      </w:r>
      <w:r w:rsidR="000747A1" w:rsidRPr="000747A1">
        <w:rPr>
          <w:rFonts w:ascii="Helvetica" w:hAnsi="Helvetica" w:cs="Helvetica"/>
          <w:b/>
          <w:color w:val="333333"/>
        </w:rPr>
        <w:lastRenderedPageBreak/>
        <w:t>Indicadores de calidad institucional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B04032" w14:paraId="1291ABA8" w14:textId="77777777" w:rsidTr="00380CE7">
        <w:tc>
          <w:tcPr>
            <w:tcW w:w="4359" w:type="dxa"/>
          </w:tcPr>
          <w:p w14:paraId="41B170CD" w14:textId="46F54110" w:rsidR="00B04032" w:rsidRDefault="00B04032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Indicador combinado</w:t>
            </w:r>
          </w:p>
        </w:tc>
        <w:tc>
          <w:tcPr>
            <w:tcW w:w="4361" w:type="dxa"/>
          </w:tcPr>
          <w:p w14:paraId="4F412E15" w14:textId="3B3A39D9" w:rsidR="00B04032" w:rsidRDefault="00B04032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Voz y rendición de cuentas</w:t>
            </w:r>
          </w:p>
        </w:tc>
      </w:tr>
      <w:tr w:rsidR="00B04032" w14:paraId="0AA67C63" w14:textId="77777777" w:rsidTr="00380CE7">
        <w:tblPrEx>
          <w:tblCellMar>
            <w:left w:w="70" w:type="dxa"/>
            <w:right w:w="70" w:type="dxa"/>
          </w:tblCellMar>
        </w:tblPrEx>
        <w:tc>
          <w:tcPr>
            <w:tcW w:w="4359" w:type="dxa"/>
          </w:tcPr>
          <w:p w14:paraId="7972FF34" w14:textId="67CDAECD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8B7CF0E" wp14:editId="2931E5BC">
                  <wp:extent cx="2705195" cy="2150475"/>
                  <wp:effectExtent l="0" t="0" r="0" b="254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14:paraId="4BB5706A" w14:textId="2F1C088B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1808686" wp14:editId="17605F4E">
                  <wp:extent cx="2706928" cy="2151341"/>
                  <wp:effectExtent l="0" t="0" r="0" b="1905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B04032" w14:paraId="4B38ECBB" w14:textId="77777777" w:rsidTr="00380CE7">
        <w:tc>
          <w:tcPr>
            <w:tcW w:w="4359" w:type="dxa"/>
          </w:tcPr>
          <w:p w14:paraId="2FFE8854" w14:textId="39A465FC" w:rsidR="00B04032" w:rsidRDefault="00B04032" w:rsidP="00B04032">
            <w:pPr>
              <w:spacing w:before="360"/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Efectividad gubernamental</w:t>
            </w:r>
          </w:p>
        </w:tc>
        <w:tc>
          <w:tcPr>
            <w:tcW w:w="4361" w:type="dxa"/>
          </w:tcPr>
          <w:p w14:paraId="52C0D85B" w14:textId="259B29EF" w:rsidR="00B04032" w:rsidRDefault="00B04032" w:rsidP="00B04032">
            <w:pPr>
              <w:spacing w:before="360"/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Calidad regulatoria</w:t>
            </w:r>
          </w:p>
        </w:tc>
      </w:tr>
      <w:tr w:rsidR="00B04032" w14:paraId="07B18DFF" w14:textId="77777777" w:rsidTr="00380CE7">
        <w:tblPrEx>
          <w:tblCellMar>
            <w:left w:w="70" w:type="dxa"/>
            <w:right w:w="70" w:type="dxa"/>
          </w:tblCellMar>
        </w:tblPrEx>
        <w:tc>
          <w:tcPr>
            <w:tcW w:w="4359" w:type="dxa"/>
          </w:tcPr>
          <w:p w14:paraId="61DE9B52" w14:textId="5816792B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133445B" wp14:editId="6734FB31">
                  <wp:extent cx="2705195" cy="2151341"/>
                  <wp:effectExtent l="0" t="0" r="0" b="1905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14:paraId="33F98D61" w14:textId="06DADC54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5433E63" wp14:editId="7695680E">
                  <wp:extent cx="2706928" cy="2151341"/>
                  <wp:effectExtent l="0" t="0" r="0" b="1905"/>
                  <wp:docPr id="6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B04032" w14:paraId="670601DE" w14:textId="77777777" w:rsidTr="00380CE7">
        <w:tc>
          <w:tcPr>
            <w:tcW w:w="4359" w:type="dxa"/>
          </w:tcPr>
          <w:p w14:paraId="41A11540" w14:textId="02EFDB5B" w:rsidR="00B04032" w:rsidRDefault="00B04032" w:rsidP="00B04032">
            <w:pPr>
              <w:spacing w:before="360"/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Respeto a la ley y los contratos</w:t>
            </w:r>
          </w:p>
        </w:tc>
        <w:tc>
          <w:tcPr>
            <w:tcW w:w="4361" w:type="dxa"/>
          </w:tcPr>
          <w:p w14:paraId="5BB91922" w14:textId="7AC1E463" w:rsidR="00B04032" w:rsidRDefault="00B04032" w:rsidP="00B04032">
            <w:pPr>
              <w:spacing w:before="360"/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 w:rsidRPr="00B04032">
              <w:rPr>
                <w:rFonts w:ascii="Helvetica" w:hAnsi="Helvetica" w:cs="Helvetica"/>
                <w:color w:val="333333"/>
              </w:rPr>
              <w:t>Control de la corrupción</w:t>
            </w:r>
          </w:p>
        </w:tc>
      </w:tr>
      <w:tr w:rsidR="00B04032" w14:paraId="5E226929" w14:textId="77777777" w:rsidTr="00380CE7">
        <w:tblPrEx>
          <w:tblCellMar>
            <w:left w:w="70" w:type="dxa"/>
            <w:right w:w="70" w:type="dxa"/>
          </w:tblCellMar>
        </w:tblPrEx>
        <w:tc>
          <w:tcPr>
            <w:tcW w:w="4359" w:type="dxa"/>
          </w:tcPr>
          <w:p w14:paraId="6C829DA7" w14:textId="32D09286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691F6F3" wp14:editId="5CC5D872">
                  <wp:extent cx="2705195" cy="2150475"/>
                  <wp:effectExtent l="0" t="0" r="0" b="2540"/>
                  <wp:docPr id="12" name="Gráfico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14:paraId="69E7011B" w14:textId="6E2FC6F5" w:rsidR="00B04032" w:rsidRDefault="00380CE7" w:rsidP="00B04032">
            <w:pPr>
              <w:jc w:val="both"/>
              <w:outlineLvl w:val="0"/>
              <w:rPr>
                <w:rFonts w:ascii="Helvetica" w:hAnsi="Helvetica" w:cs="Helvetica"/>
                <w:color w:val="333333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9F08776" wp14:editId="2D0D74E4">
                  <wp:extent cx="2705196" cy="2151341"/>
                  <wp:effectExtent l="0" t="0" r="0" b="1905"/>
                  <wp:docPr id="13" name="Gráfico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B04032" w14:paraId="6635AC19" w14:textId="77777777" w:rsidTr="00B04032">
        <w:tblPrEx>
          <w:tblCellMar>
            <w:left w:w="70" w:type="dxa"/>
            <w:right w:w="70" w:type="dxa"/>
          </w:tblCellMar>
        </w:tblPrEx>
        <w:tc>
          <w:tcPr>
            <w:tcW w:w="8720" w:type="dxa"/>
            <w:gridSpan w:val="2"/>
          </w:tcPr>
          <w:p w14:paraId="784A22BF" w14:textId="77777777" w:rsidR="00B04032" w:rsidRDefault="00B04032" w:rsidP="00B04032">
            <w:pPr>
              <w:spacing w:before="240"/>
              <w:jc w:val="both"/>
              <w:outlineLvl w:val="0"/>
              <w:rPr>
                <w:noProof/>
                <w:lang w:eastAsia="es-ES"/>
              </w:rPr>
            </w:pPr>
            <w:r w:rsidRPr="00B04032">
              <w:rPr>
                <w:noProof/>
                <w:lang w:eastAsia="es-ES"/>
              </w:rPr>
              <w:t>Nota: La distribución mundial de los indicadores tiene media 5 y desviación tipica igual a 2.</w:t>
            </w:r>
          </w:p>
          <w:p w14:paraId="348B7C8B" w14:textId="4F23E402" w:rsidR="00F4349F" w:rsidRDefault="00F4349F" w:rsidP="00B04032">
            <w:pPr>
              <w:spacing w:before="240"/>
              <w:jc w:val="both"/>
              <w:outlineLvl w:val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Fuente: Banco Mundial</w:t>
            </w:r>
          </w:p>
        </w:tc>
      </w:tr>
    </w:tbl>
    <w:p w14:paraId="5BBA2F3C" w14:textId="74B58A70" w:rsidR="00836CAA" w:rsidRDefault="007C0BFF" w:rsidP="00836CA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Del análisis de los indicadores WGI se deriva también que la trayectoria española ha sido ligeramente decreciente en calidad institucional, ya que todos los indicadores se sitúan en 201</w:t>
      </w:r>
      <w:r w:rsidR="00F73859">
        <w:rPr>
          <w:rFonts w:ascii="Helvetica" w:hAnsi="Helvetica" w:cs="Helvetica"/>
          <w:color w:val="333333"/>
        </w:rPr>
        <w:t>7</w:t>
      </w:r>
      <w:r>
        <w:rPr>
          <w:rFonts w:ascii="Helvetica" w:hAnsi="Helvetica" w:cs="Helvetica"/>
          <w:color w:val="333333"/>
        </w:rPr>
        <w:t xml:space="preserve"> a un nivel inferior al de 2003. El indicador global ha descendido desde un 7,8 a un 6,</w:t>
      </w:r>
      <w:r w:rsidR="00F73859">
        <w:rPr>
          <w:rFonts w:ascii="Helvetica" w:hAnsi="Helvetica" w:cs="Helvetica"/>
          <w:color w:val="333333"/>
        </w:rPr>
        <w:t>8</w:t>
      </w:r>
      <w:r>
        <w:rPr>
          <w:rFonts w:ascii="Helvetica" w:hAnsi="Helvetica" w:cs="Helvetica"/>
          <w:color w:val="333333"/>
        </w:rPr>
        <w:t>.</w:t>
      </w:r>
    </w:p>
    <w:p w14:paraId="10B2FD72" w14:textId="23D1D750" w:rsidR="007C0BFF" w:rsidRDefault="007C0BFF" w:rsidP="00836CA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Los costes económicos que tiene el déficit de calidad institucional y la corrupción van mucho más allá del montante de los fondos públicos apropiados indebidamente</w:t>
      </w:r>
      <w:r w:rsidR="00A71549">
        <w:rPr>
          <w:rFonts w:ascii="Helvetica" w:hAnsi="Helvetica" w:cs="Helvetica"/>
          <w:color w:val="333333"/>
        </w:rPr>
        <w:t>. La corrupción</w:t>
      </w:r>
      <w:r>
        <w:rPr>
          <w:rFonts w:ascii="Helvetica" w:hAnsi="Helvetica" w:cs="Helvetica"/>
          <w:color w:val="333333"/>
        </w:rPr>
        <w:t xml:space="preserve"> disminuye </w:t>
      </w:r>
      <w:r w:rsidR="0014693A">
        <w:rPr>
          <w:rFonts w:ascii="Helvetica" w:hAnsi="Helvetica" w:cs="Helvetica"/>
          <w:color w:val="333333"/>
        </w:rPr>
        <w:t xml:space="preserve">la rentabilidad de los proyectos empresariales, incrementa </w:t>
      </w:r>
      <w:r w:rsidR="00A71549">
        <w:rPr>
          <w:rFonts w:ascii="Helvetica" w:hAnsi="Helvetica" w:cs="Helvetica"/>
          <w:color w:val="333333"/>
        </w:rPr>
        <w:t>su</w:t>
      </w:r>
      <w:r w:rsidR="0014693A">
        <w:rPr>
          <w:rFonts w:ascii="Helvetica" w:hAnsi="Helvetica" w:cs="Helvetica"/>
          <w:color w:val="333333"/>
        </w:rPr>
        <w:t xml:space="preserve"> incertidumbre</w:t>
      </w:r>
      <w:r w:rsidR="00E9577B">
        <w:rPr>
          <w:rFonts w:ascii="Helvetica" w:hAnsi="Helvetica" w:cs="Helvetica"/>
          <w:color w:val="333333"/>
        </w:rPr>
        <w:t>,</w:t>
      </w:r>
      <w:r w:rsidR="0014693A">
        <w:rPr>
          <w:rFonts w:ascii="Helvetica" w:hAnsi="Helvetica" w:cs="Helvetica"/>
          <w:color w:val="333333"/>
        </w:rPr>
        <w:t xml:space="preserve"> r</w:t>
      </w:r>
      <w:r w:rsidR="00E9577B">
        <w:rPr>
          <w:rFonts w:ascii="Helvetica" w:hAnsi="Helvetica" w:cs="Helvetica"/>
          <w:color w:val="333333"/>
        </w:rPr>
        <w:t>educe los niveles de inversión y</w:t>
      </w:r>
      <w:r w:rsidR="0014693A">
        <w:rPr>
          <w:rFonts w:ascii="Helvetica" w:hAnsi="Helvetica" w:cs="Helvetica"/>
          <w:color w:val="333333"/>
        </w:rPr>
        <w:t xml:space="preserve"> desvía recursos humanos y financieros </w:t>
      </w:r>
      <w:r w:rsidR="00A71549" w:rsidRPr="00C06065">
        <w:rPr>
          <w:rFonts w:ascii="Helvetica" w:hAnsi="Helvetica" w:cs="Helvetica"/>
          <w:color w:val="333333"/>
        </w:rPr>
        <w:t>hacia la influencia en los órganos de decisión pública en lugar de asignarlos a actividades productivas, y orientan los esfuerzos hacia la búsqueda de privilegios desincentivando el emprendimiento y la innovación.</w:t>
      </w:r>
      <w:r w:rsidR="0014693A">
        <w:rPr>
          <w:rFonts w:ascii="Helvetica" w:hAnsi="Helvetica" w:cs="Helvetica"/>
          <w:color w:val="333333"/>
        </w:rPr>
        <w:t xml:space="preserve"> Se traduce, </w:t>
      </w:r>
      <w:r w:rsidR="00A71549">
        <w:rPr>
          <w:rFonts w:ascii="Helvetica" w:hAnsi="Helvetica" w:cs="Helvetica"/>
          <w:color w:val="333333"/>
        </w:rPr>
        <w:t>finalmente</w:t>
      </w:r>
      <w:r w:rsidR="0014693A">
        <w:rPr>
          <w:rFonts w:ascii="Helvetica" w:hAnsi="Helvetica" w:cs="Helvetica"/>
          <w:color w:val="333333"/>
        </w:rPr>
        <w:t>, en menor productividad, mayor desempleo y salarios inferiores a los que serían posibles con la tecnología y el capital humano disponible.</w:t>
      </w:r>
    </w:p>
    <w:p w14:paraId="3DB1C06D" w14:textId="3CC073F5" w:rsidR="0014693A" w:rsidRDefault="0014693A" w:rsidP="00836CA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Elevar la calidad institucional hasta el nivel que le corresponder</w:t>
      </w:r>
      <w:r w:rsidR="005D1C39">
        <w:rPr>
          <w:rFonts w:ascii="Helvetica" w:hAnsi="Helvetica" w:cs="Helvetica"/>
          <w:color w:val="333333"/>
        </w:rPr>
        <w:t>ía dad</w:t>
      </w:r>
      <w:r w:rsidR="00E9577B">
        <w:rPr>
          <w:rFonts w:ascii="Helvetica" w:hAnsi="Helvetica" w:cs="Helvetica"/>
          <w:color w:val="333333"/>
        </w:rPr>
        <w:t xml:space="preserve">a </w:t>
      </w:r>
      <w:r>
        <w:rPr>
          <w:rFonts w:ascii="Helvetica" w:hAnsi="Helvetica" w:cs="Helvetica"/>
          <w:color w:val="333333"/>
        </w:rPr>
        <w:t>l</w:t>
      </w:r>
      <w:r w:rsidR="00E9577B">
        <w:rPr>
          <w:rFonts w:ascii="Helvetica" w:hAnsi="Helvetica" w:cs="Helvetica"/>
          <w:color w:val="333333"/>
        </w:rPr>
        <w:t>a</w:t>
      </w:r>
      <w:r>
        <w:rPr>
          <w:rFonts w:ascii="Helvetica" w:hAnsi="Helvetica" w:cs="Helvetica"/>
          <w:color w:val="333333"/>
        </w:rPr>
        <w:t xml:space="preserve"> productividad del país permitiría </w:t>
      </w:r>
      <w:r w:rsidRPr="000733FA">
        <w:rPr>
          <w:rFonts w:ascii="Helvetica" w:hAnsi="Helvetica" w:cs="Helvetica"/>
          <w:b/>
          <w:color w:val="333333"/>
        </w:rPr>
        <w:t>increm</w:t>
      </w:r>
      <w:r w:rsidR="00446D42" w:rsidRPr="000733FA">
        <w:rPr>
          <w:rFonts w:ascii="Helvetica" w:hAnsi="Helvetica" w:cs="Helvetica"/>
          <w:b/>
          <w:color w:val="333333"/>
        </w:rPr>
        <w:t>entar el PIB per cápita en un 16</w:t>
      </w:r>
      <w:r w:rsidRPr="000733FA">
        <w:rPr>
          <w:rFonts w:ascii="Helvetica" w:hAnsi="Helvetica" w:cs="Helvetica"/>
          <w:b/>
          <w:color w:val="333333"/>
        </w:rPr>
        <w:t>% en un plazo de</w:t>
      </w:r>
      <w:r w:rsidR="005A1860" w:rsidRPr="000733FA">
        <w:rPr>
          <w:rFonts w:ascii="Helvetica" w:hAnsi="Helvetica" w:cs="Helvetica"/>
          <w:b/>
          <w:color w:val="333333"/>
        </w:rPr>
        <w:t xml:space="preserve"> </w:t>
      </w:r>
      <w:r w:rsidR="001A6A4F" w:rsidRPr="000733FA">
        <w:rPr>
          <w:rFonts w:ascii="Helvetica" w:hAnsi="Helvetica" w:cs="Helvetica"/>
          <w:b/>
          <w:color w:val="333333"/>
        </w:rPr>
        <w:t xml:space="preserve">unos </w:t>
      </w:r>
      <w:r w:rsidR="005A1860" w:rsidRPr="000733FA">
        <w:rPr>
          <w:rFonts w:ascii="Helvetica" w:hAnsi="Helvetica" w:cs="Helvetica"/>
          <w:b/>
          <w:color w:val="333333"/>
        </w:rPr>
        <w:t>1</w:t>
      </w:r>
      <w:r w:rsidR="001A6A4F" w:rsidRPr="000733FA">
        <w:rPr>
          <w:rFonts w:ascii="Helvetica" w:hAnsi="Helvetica" w:cs="Helvetica"/>
          <w:b/>
          <w:color w:val="333333"/>
        </w:rPr>
        <w:t>5</w:t>
      </w:r>
      <w:r w:rsidR="005A1860" w:rsidRPr="000733FA">
        <w:rPr>
          <w:rFonts w:ascii="Helvetica" w:hAnsi="Helvetica" w:cs="Helvetica"/>
          <w:b/>
          <w:color w:val="333333"/>
        </w:rPr>
        <w:t xml:space="preserve"> años</w:t>
      </w:r>
      <w:r w:rsidR="005A1860">
        <w:rPr>
          <w:rFonts w:ascii="Helvetica" w:hAnsi="Helvetica" w:cs="Helvetica"/>
          <w:color w:val="333333"/>
        </w:rPr>
        <w:t>, según ha</w:t>
      </w:r>
      <w:r w:rsidR="00B61887">
        <w:rPr>
          <w:rFonts w:ascii="Helvetica" w:hAnsi="Helvetica" w:cs="Helvetica"/>
          <w:color w:val="333333"/>
        </w:rPr>
        <w:t>n</w:t>
      </w:r>
      <w:r w:rsidR="005A1860">
        <w:rPr>
          <w:rFonts w:ascii="Helvetica" w:hAnsi="Helvetica" w:cs="Helvetica"/>
          <w:color w:val="333333"/>
        </w:rPr>
        <w:t xml:space="preserve"> explicado esta mañana el investig</w:t>
      </w:r>
      <w:r w:rsidR="00B61887">
        <w:rPr>
          <w:rFonts w:ascii="Helvetica" w:hAnsi="Helvetica" w:cs="Helvetica"/>
          <w:color w:val="333333"/>
        </w:rPr>
        <w:t xml:space="preserve">ador del Ivie </w:t>
      </w:r>
      <w:r w:rsidR="00B61887" w:rsidRPr="0032065F">
        <w:rPr>
          <w:rFonts w:ascii="Helvetica" w:hAnsi="Helvetica" w:cs="Helvetica"/>
          <w:b/>
          <w:color w:val="333333"/>
        </w:rPr>
        <w:t xml:space="preserve">Francisco Alcalá y </w:t>
      </w:r>
      <w:r w:rsidR="00A731C5">
        <w:rPr>
          <w:rFonts w:ascii="Helvetica" w:hAnsi="Helvetica" w:cs="Helvetica"/>
          <w:color w:val="333333"/>
        </w:rPr>
        <w:t xml:space="preserve">el profesor de la Universidad de Murcia </w:t>
      </w:r>
      <w:r w:rsidR="00A731C5" w:rsidRPr="0032065F">
        <w:rPr>
          <w:rFonts w:ascii="Helvetica" w:hAnsi="Helvetica" w:cs="Helvetica"/>
          <w:b/>
          <w:color w:val="333333"/>
        </w:rPr>
        <w:t>Fernando Jiménez</w:t>
      </w:r>
      <w:r w:rsidR="00B61887">
        <w:rPr>
          <w:rFonts w:ascii="Helvetica" w:hAnsi="Helvetica" w:cs="Helvetica"/>
          <w:color w:val="333333"/>
        </w:rPr>
        <w:t>, codirectores</w:t>
      </w:r>
      <w:r w:rsidR="00A731C5">
        <w:rPr>
          <w:rFonts w:ascii="Helvetica" w:hAnsi="Helvetica" w:cs="Helvetica"/>
          <w:color w:val="333333"/>
        </w:rPr>
        <w:t xml:space="preserve"> del informe que hoy se ha presentado en el seminario</w:t>
      </w:r>
      <w:r w:rsidR="00E9577B">
        <w:rPr>
          <w:rFonts w:ascii="Helvetica" w:hAnsi="Helvetica" w:cs="Helvetica"/>
          <w:color w:val="333333"/>
        </w:rPr>
        <w:t xml:space="preserve"> celebrado en </w:t>
      </w:r>
      <w:proofErr w:type="spellStart"/>
      <w:r w:rsidR="00E9577B">
        <w:rPr>
          <w:rFonts w:ascii="Helvetica" w:hAnsi="Helvetica" w:cs="Helvetica"/>
          <w:color w:val="333333"/>
        </w:rPr>
        <w:t>València</w:t>
      </w:r>
      <w:proofErr w:type="spellEnd"/>
      <w:r w:rsidR="00A731C5">
        <w:rPr>
          <w:rFonts w:ascii="Helvetica" w:hAnsi="Helvetica" w:cs="Helvetica"/>
          <w:color w:val="333333"/>
        </w:rPr>
        <w:t xml:space="preserve"> </w:t>
      </w:r>
      <w:r w:rsidR="00A731C5" w:rsidRPr="0032065F">
        <w:rPr>
          <w:rFonts w:ascii="Helvetica" w:hAnsi="Helvetica" w:cs="Helvetica"/>
          <w:i/>
          <w:color w:val="333333"/>
        </w:rPr>
        <w:t>Los costes económicos del déficit de calidad institucional y la corrupción en España</w:t>
      </w:r>
      <w:r w:rsidR="00A731C5">
        <w:rPr>
          <w:rFonts w:ascii="Helvetica" w:hAnsi="Helvetica" w:cs="Helvetica"/>
          <w:color w:val="333333"/>
        </w:rPr>
        <w:t>.</w:t>
      </w:r>
      <w:r w:rsidR="001A6A4F">
        <w:rPr>
          <w:rFonts w:ascii="Helvetica" w:hAnsi="Helvetica" w:cs="Helvetica"/>
          <w:color w:val="333333"/>
        </w:rPr>
        <w:t xml:space="preserve"> Esto significaría  </w:t>
      </w:r>
      <w:r w:rsidR="00802EFD">
        <w:rPr>
          <w:rFonts w:ascii="Helvetica" w:hAnsi="Helvetica" w:cs="Helvetica"/>
          <w:color w:val="333333"/>
        </w:rPr>
        <w:t xml:space="preserve">elevar el crecimiento medio anual de la economía española en </w:t>
      </w:r>
      <w:r w:rsidR="00446D42">
        <w:rPr>
          <w:rFonts w:ascii="Helvetica" w:hAnsi="Helvetica" w:cs="Helvetica"/>
          <w:color w:val="333333"/>
        </w:rPr>
        <w:t xml:space="preserve">torno a </w:t>
      </w:r>
      <w:r w:rsidR="001A6A4F">
        <w:rPr>
          <w:rFonts w:ascii="Helvetica" w:hAnsi="Helvetica" w:cs="Helvetica"/>
          <w:color w:val="333333"/>
        </w:rPr>
        <w:t xml:space="preserve">un punto porcentual </w:t>
      </w:r>
      <w:r w:rsidR="00802EFD">
        <w:rPr>
          <w:rFonts w:ascii="Helvetica" w:hAnsi="Helvetica" w:cs="Helvetica"/>
          <w:color w:val="333333"/>
        </w:rPr>
        <w:t xml:space="preserve">a lo largo de un </w:t>
      </w:r>
      <w:r w:rsidR="001A6A4F">
        <w:rPr>
          <w:rFonts w:ascii="Helvetica" w:hAnsi="Helvetica" w:cs="Helvetica"/>
          <w:color w:val="333333"/>
        </w:rPr>
        <w:t>periodo de 15 años.</w:t>
      </w:r>
    </w:p>
    <w:p w14:paraId="6ED68873" w14:textId="194E0BCC" w:rsidR="00802EFD" w:rsidRDefault="00802EFD" w:rsidP="00836CA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Estas estimaciones están </w:t>
      </w:r>
      <w:r w:rsidR="00315A5B">
        <w:rPr>
          <w:rFonts w:ascii="Helvetica" w:hAnsi="Helvetica" w:cs="Helvetica"/>
          <w:color w:val="333333"/>
        </w:rPr>
        <w:t>basadas en el trabajo de un buen número de investigadores en economía</w:t>
      </w:r>
      <w:r w:rsidR="0079217A">
        <w:rPr>
          <w:rFonts w:ascii="Helvetica" w:hAnsi="Helvetica" w:cs="Helvetica"/>
          <w:color w:val="333333"/>
        </w:rPr>
        <w:t xml:space="preserve"> que,</w:t>
      </w:r>
      <w:r w:rsidR="00315A5B">
        <w:rPr>
          <w:rFonts w:ascii="Helvetica" w:hAnsi="Helvetica" w:cs="Helvetica"/>
          <w:color w:val="333333"/>
        </w:rPr>
        <w:t xml:space="preserve"> a lo largo de las últimas dos décadas, ha</w:t>
      </w:r>
      <w:r w:rsidR="0079217A">
        <w:rPr>
          <w:rFonts w:ascii="Helvetica" w:hAnsi="Helvetica" w:cs="Helvetica"/>
          <w:color w:val="333333"/>
        </w:rPr>
        <w:t>n</w:t>
      </w:r>
      <w:r w:rsidR="00315A5B">
        <w:rPr>
          <w:rFonts w:ascii="Helvetica" w:hAnsi="Helvetica" w:cs="Helvetica"/>
          <w:color w:val="333333"/>
        </w:rPr>
        <w:t xml:space="preserve"> s</w:t>
      </w:r>
      <w:r w:rsidR="0079217A">
        <w:rPr>
          <w:rFonts w:ascii="Helvetica" w:hAnsi="Helvetica" w:cs="Helvetica"/>
          <w:color w:val="333333"/>
        </w:rPr>
        <w:t>ituado la calidad institucional</w:t>
      </w:r>
      <w:r w:rsidR="00315A5B">
        <w:rPr>
          <w:rFonts w:ascii="Helvetica" w:hAnsi="Helvetica" w:cs="Helvetica"/>
          <w:color w:val="333333"/>
        </w:rPr>
        <w:t xml:space="preserve"> entre los factores fundamentales para el desarrollo económico. Estas investigaciones han permitido estimar el coste </w:t>
      </w:r>
      <w:r w:rsidR="00B06079">
        <w:rPr>
          <w:rFonts w:ascii="Helvetica" w:hAnsi="Helvetica" w:cs="Helvetica"/>
          <w:color w:val="333333"/>
        </w:rPr>
        <w:t xml:space="preserve">medio </w:t>
      </w:r>
      <w:r w:rsidR="00315A5B">
        <w:rPr>
          <w:rFonts w:ascii="Helvetica" w:hAnsi="Helvetica" w:cs="Helvetica"/>
          <w:color w:val="333333"/>
        </w:rPr>
        <w:t xml:space="preserve">que tiene la baja calidad institucional </w:t>
      </w:r>
      <w:r w:rsidR="00B06079">
        <w:rPr>
          <w:rFonts w:ascii="Helvetica" w:hAnsi="Helvetica" w:cs="Helvetica"/>
          <w:color w:val="333333"/>
        </w:rPr>
        <w:t>en los países</w:t>
      </w:r>
      <w:r w:rsidR="00315A5B">
        <w:rPr>
          <w:rFonts w:ascii="Helvetica" w:hAnsi="Helvetica" w:cs="Helvetica"/>
          <w:color w:val="333333"/>
        </w:rPr>
        <w:t>, en términos de renta per cápita y productividad</w:t>
      </w:r>
      <w:r w:rsidR="0079217A">
        <w:rPr>
          <w:rFonts w:ascii="Helvetica" w:hAnsi="Helvetica" w:cs="Helvetica"/>
          <w:color w:val="333333"/>
        </w:rPr>
        <w:t>, y son la base</w:t>
      </w:r>
      <w:r w:rsidR="00B06079">
        <w:rPr>
          <w:rFonts w:ascii="Helvetica" w:hAnsi="Helvetica" w:cs="Helvetica"/>
          <w:color w:val="333333"/>
        </w:rPr>
        <w:t xml:space="preserve"> de los cálculos que se realizan en </w:t>
      </w:r>
      <w:r w:rsidR="0079217A">
        <w:rPr>
          <w:rFonts w:ascii="Helvetica" w:hAnsi="Helvetica" w:cs="Helvetica"/>
          <w:color w:val="333333"/>
        </w:rPr>
        <w:t>este informe</w:t>
      </w:r>
      <w:r w:rsidR="00315A5B" w:rsidRPr="00F4349F">
        <w:rPr>
          <w:rFonts w:ascii="Helvetica" w:hAnsi="Helvetica" w:cs="Helvetica"/>
          <w:color w:val="333333"/>
        </w:rPr>
        <w:t xml:space="preserve">. </w:t>
      </w:r>
      <w:r w:rsidR="004365F9" w:rsidRPr="00F4349F">
        <w:rPr>
          <w:rFonts w:ascii="Helvetica" w:hAnsi="Helvetica" w:cs="Helvetica"/>
          <w:color w:val="333333"/>
        </w:rPr>
        <w:t xml:space="preserve">En concreto, </w:t>
      </w:r>
      <w:r w:rsidR="007B444E" w:rsidRPr="00F4349F">
        <w:rPr>
          <w:rFonts w:ascii="Helvetica" w:hAnsi="Helvetica" w:cs="Helvetica"/>
          <w:color w:val="333333"/>
        </w:rPr>
        <w:t xml:space="preserve">haciendo uso de esas estimaciones, </w:t>
      </w:r>
      <w:r w:rsidR="004365F9" w:rsidRPr="00F4349F">
        <w:rPr>
          <w:rFonts w:ascii="Helvetica" w:hAnsi="Helvetica" w:cs="Helvetica"/>
          <w:color w:val="333333"/>
        </w:rPr>
        <w:t xml:space="preserve">en el informe se calcula </w:t>
      </w:r>
      <w:r w:rsidR="00B8722C" w:rsidRPr="00F4349F">
        <w:rPr>
          <w:rFonts w:ascii="Helvetica" w:hAnsi="Helvetica" w:cs="Helvetica"/>
          <w:color w:val="333333"/>
        </w:rPr>
        <w:t>el</w:t>
      </w:r>
      <w:r w:rsidR="004365F9" w:rsidRPr="00F4349F">
        <w:rPr>
          <w:rFonts w:ascii="Helvetica" w:hAnsi="Helvetica" w:cs="Helvetica"/>
          <w:color w:val="333333"/>
        </w:rPr>
        <w:t xml:space="preserve"> impacto </w:t>
      </w:r>
      <w:r w:rsidR="00B8722C" w:rsidRPr="00F4349F">
        <w:rPr>
          <w:rFonts w:ascii="Helvetica" w:hAnsi="Helvetica" w:cs="Helvetica"/>
          <w:color w:val="333333"/>
        </w:rPr>
        <w:t xml:space="preserve">que </w:t>
      </w:r>
      <w:r w:rsidR="004365F9" w:rsidRPr="00F4349F">
        <w:rPr>
          <w:rFonts w:ascii="Helvetica" w:hAnsi="Helvetica" w:cs="Helvetica"/>
          <w:color w:val="333333"/>
        </w:rPr>
        <w:t>tendría llevar la calidad instituci</w:t>
      </w:r>
      <w:r w:rsidR="004B0DCA" w:rsidRPr="00F4349F">
        <w:rPr>
          <w:rFonts w:ascii="Helvetica" w:hAnsi="Helvetica" w:cs="Helvetica"/>
          <w:color w:val="333333"/>
        </w:rPr>
        <w:t xml:space="preserve">onal española desde </w:t>
      </w:r>
      <w:r w:rsidR="00D90A3A" w:rsidRPr="00F4349F">
        <w:rPr>
          <w:rFonts w:ascii="Helvetica" w:hAnsi="Helvetica" w:cs="Helvetica"/>
          <w:color w:val="333333"/>
        </w:rPr>
        <w:t xml:space="preserve">el </w:t>
      </w:r>
      <w:r w:rsidR="004B0DCA" w:rsidRPr="00F4349F">
        <w:rPr>
          <w:rFonts w:ascii="Helvetica" w:hAnsi="Helvetica" w:cs="Helvetica"/>
          <w:color w:val="333333"/>
        </w:rPr>
        <w:t xml:space="preserve">lugar </w:t>
      </w:r>
      <w:r w:rsidR="004365F9" w:rsidRPr="00F4349F">
        <w:rPr>
          <w:rFonts w:ascii="Helvetica" w:hAnsi="Helvetica" w:cs="Helvetica"/>
          <w:color w:val="333333"/>
        </w:rPr>
        <w:t>que ocupa en la a</w:t>
      </w:r>
      <w:r w:rsidR="00D90A3A" w:rsidRPr="00F4349F">
        <w:rPr>
          <w:rFonts w:ascii="Helvetica" w:hAnsi="Helvetica" w:cs="Helvetica"/>
          <w:color w:val="333333"/>
        </w:rPr>
        <w:t>ctualidad, hasta el percentil 85</w:t>
      </w:r>
      <w:r w:rsidR="004365F9" w:rsidRPr="00F4349F">
        <w:rPr>
          <w:rFonts w:ascii="Helvetica" w:hAnsi="Helvetica" w:cs="Helvetica"/>
          <w:color w:val="333333"/>
        </w:rPr>
        <w:t xml:space="preserve"> que correspondería a su nivel de productividad.</w:t>
      </w:r>
    </w:p>
    <w:p w14:paraId="672FF069" w14:textId="0E37994A" w:rsidR="006E41AF" w:rsidRDefault="006E41AF" w:rsidP="00836CAA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Según ha explicado Alcalá, </w:t>
      </w:r>
      <w:r w:rsidR="00315A5B">
        <w:rPr>
          <w:rFonts w:ascii="Helvetica" w:hAnsi="Helvetica" w:cs="Helvetica"/>
          <w:color w:val="333333"/>
        </w:rPr>
        <w:t xml:space="preserve">el </w:t>
      </w:r>
      <w:r>
        <w:rPr>
          <w:rFonts w:ascii="Helvetica" w:hAnsi="Helvetica" w:cs="Helvetica"/>
          <w:color w:val="333333"/>
        </w:rPr>
        <w:t xml:space="preserve">impacto positivo </w:t>
      </w:r>
      <w:r w:rsidR="00315A5B">
        <w:rPr>
          <w:rFonts w:ascii="Helvetica" w:hAnsi="Helvetica" w:cs="Helvetica"/>
          <w:color w:val="333333"/>
        </w:rPr>
        <w:t xml:space="preserve">que tendría </w:t>
      </w:r>
      <w:r>
        <w:rPr>
          <w:rFonts w:ascii="Helvetica" w:hAnsi="Helvetica" w:cs="Helvetica"/>
          <w:color w:val="333333"/>
        </w:rPr>
        <w:t xml:space="preserve">la mejora de la calidad institucional sobre el PIB se produciría indirectamente, a través de mecanismos que aumentarían la inversión y la productividad y, con ellos, la producción y el empleo. La mayor seguridad jurídica, la reducción de la corrupción, la eliminación de trabas administrativas, la mejor regulación, </w:t>
      </w:r>
      <w:r w:rsidR="001A6A4F">
        <w:rPr>
          <w:rFonts w:ascii="Helvetica" w:hAnsi="Helvetica" w:cs="Helvetica"/>
          <w:color w:val="333333"/>
        </w:rPr>
        <w:t xml:space="preserve">la mayor competencia, </w:t>
      </w:r>
      <w:r>
        <w:rPr>
          <w:rFonts w:ascii="Helvetica" w:hAnsi="Helvetica" w:cs="Helvetica"/>
          <w:color w:val="333333"/>
        </w:rPr>
        <w:t xml:space="preserve">etc. incentivarían la inversión nacional y extranjera, </w:t>
      </w:r>
      <w:r w:rsidR="001A6A4F">
        <w:rPr>
          <w:rFonts w:ascii="Helvetica" w:hAnsi="Helvetica" w:cs="Helvetica"/>
          <w:color w:val="333333"/>
        </w:rPr>
        <w:t>harían más fáciles y rentables</w:t>
      </w:r>
      <w:r>
        <w:rPr>
          <w:rFonts w:ascii="Helvetica" w:hAnsi="Helvetica" w:cs="Helvetica"/>
          <w:color w:val="333333"/>
        </w:rPr>
        <w:t xml:space="preserve"> el emprendimiento y la innovación y mejorarían la asignación de recursos privados y públicos hacia </w:t>
      </w:r>
      <w:r w:rsidR="001A6A4F">
        <w:rPr>
          <w:rFonts w:ascii="Helvetica" w:hAnsi="Helvetica" w:cs="Helvetica"/>
          <w:color w:val="333333"/>
        </w:rPr>
        <w:t xml:space="preserve">las </w:t>
      </w:r>
      <w:r>
        <w:rPr>
          <w:rFonts w:ascii="Helvetica" w:hAnsi="Helvetica" w:cs="Helvetica"/>
          <w:color w:val="333333"/>
        </w:rPr>
        <w:t>actividades más productivas.</w:t>
      </w:r>
    </w:p>
    <w:p w14:paraId="00C0430C" w14:textId="77777777" w:rsidR="00F4349F" w:rsidRDefault="00F4349F" w:rsidP="00F4349F">
      <w:pPr>
        <w:rPr>
          <w:rFonts w:ascii="Helvetica" w:hAnsi="Helvetica" w:cs="Helvetica"/>
          <w:b/>
          <w:color w:val="333333"/>
        </w:rPr>
      </w:pPr>
    </w:p>
    <w:p w14:paraId="0C4D4F5C" w14:textId="0683372E" w:rsidR="009333B2" w:rsidRDefault="00CF429A" w:rsidP="00C81A8E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</w:rPr>
      </w:pPr>
      <w:r>
        <w:rPr>
          <w:rFonts w:ascii="Helvetica" w:hAnsi="Helvetica" w:cs="Helvetica"/>
          <w:color w:val="333333"/>
        </w:rPr>
        <w:lastRenderedPageBreak/>
        <w:t xml:space="preserve">El seminario </w:t>
      </w:r>
      <w:r w:rsidR="00CC749B">
        <w:rPr>
          <w:rFonts w:ascii="Helvetica" w:hAnsi="Helvetica" w:cs="Helvetica"/>
          <w:i/>
          <w:color w:val="333333"/>
        </w:rPr>
        <w:t>Los costes económicos del déficit de calidad institucional</w:t>
      </w:r>
      <w:r w:rsidR="00E74FED">
        <w:rPr>
          <w:rFonts w:ascii="Helvetica" w:hAnsi="Helvetica" w:cs="Helvetica"/>
          <w:i/>
          <w:color w:val="333333"/>
        </w:rPr>
        <w:t xml:space="preserve"> y la corrupción en España</w:t>
      </w:r>
      <w:r w:rsidRPr="003F3DC2">
        <w:rPr>
          <w:rFonts w:ascii="Helvetica" w:hAnsi="Helvetica" w:cs="Helvetica"/>
          <w:i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</w:t>
      </w:r>
      <w:r w:rsidR="00FD586B">
        <w:rPr>
          <w:rFonts w:ascii="Helvetica" w:hAnsi="Helvetica" w:cs="Helvetica"/>
          <w:color w:val="333333"/>
        </w:rPr>
        <w:t>organizado esta</w:t>
      </w:r>
      <w:r>
        <w:rPr>
          <w:rFonts w:ascii="Helvetica" w:hAnsi="Helvetica" w:cs="Helvetica"/>
          <w:color w:val="333333"/>
        </w:rPr>
        <w:t xml:space="preserve"> mañana en </w:t>
      </w:r>
      <w:proofErr w:type="spellStart"/>
      <w:r>
        <w:rPr>
          <w:rFonts w:ascii="Helvetica" w:hAnsi="Helvetica" w:cs="Helvetica"/>
          <w:color w:val="333333"/>
        </w:rPr>
        <w:t>València</w:t>
      </w:r>
      <w:proofErr w:type="spellEnd"/>
      <w:r w:rsidR="00FD586B">
        <w:rPr>
          <w:rFonts w:ascii="Helvetica" w:hAnsi="Helvetica" w:cs="Helvetica"/>
          <w:color w:val="333333"/>
        </w:rPr>
        <w:t xml:space="preserve"> por la Fundación BBVA y el Ivie</w:t>
      </w:r>
      <w:r>
        <w:rPr>
          <w:rFonts w:ascii="Helvetica" w:hAnsi="Helvetica" w:cs="Helvetica"/>
          <w:color w:val="333333"/>
        </w:rPr>
        <w:t xml:space="preserve">, </w:t>
      </w:r>
      <w:r w:rsidR="00E74FED">
        <w:rPr>
          <w:rFonts w:ascii="Helvetica" w:hAnsi="Helvetica" w:cs="Helvetica"/>
          <w:color w:val="333333"/>
        </w:rPr>
        <w:t>ha comenzado con la presentación del informe mencionado, a cargo de sus codir</w:t>
      </w:r>
      <w:r w:rsidR="00FD586B">
        <w:rPr>
          <w:rFonts w:ascii="Helvetica" w:hAnsi="Helvetica" w:cs="Helvetica"/>
          <w:color w:val="333333"/>
        </w:rPr>
        <w:t xml:space="preserve">ectores. Posteriormente, han tenido lugar </w:t>
      </w:r>
      <w:r w:rsidR="00E74FED">
        <w:rPr>
          <w:rFonts w:ascii="Helvetica" w:hAnsi="Helvetica" w:cs="Helvetica"/>
          <w:color w:val="333333"/>
        </w:rPr>
        <w:t>dos sesiones de debate sobre el problema general de</w:t>
      </w:r>
      <w:r w:rsidR="00FF4176">
        <w:rPr>
          <w:rFonts w:ascii="Helvetica" w:hAnsi="Helvetica" w:cs="Helvetica"/>
          <w:color w:val="333333"/>
        </w:rPr>
        <w:t>l déficit de</w:t>
      </w:r>
      <w:r w:rsidR="00E74FED">
        <w:rPr>
          <w:rFonts w:ascii="Helvetica" w:hAnsi="Helvetica" w:cs="Helvetica"/>
          <w:color w:val="333333"/>
        </w:rPr>
        <w:t xml:space="preserve"> la calidad institucional y la corrupción en España y las líneas de actuación necesarias para combatirlos. Han participado en estos debates</w:t>
      </w:r>
      <w:r w:rsidR="00C81A8E">
        <w:rPr>
          <w:rFonts w:ascii="Helvetica" w:hAnsi="Helvetica" w:cs="Helvetica"/>
          <w:color w:val="333333"/>
        </w:rPr>
        <w:t xml:space="preserve"> el catedrático</w:t>
      </w:r>
      <w:r w:rsidR="00E74FED">
        <w:rPr>
          <w:rFonts w:ascii="Helvetica" w:hAnsi="Helvetica" w:cs="Helvetica"/>
          <w:color w:val="333333"/>
        </w:rPr>
        <w:t xml:space="preserve"> </w:t>
      </w:r>
      <w:r w:rsidR="00E74FED" w:rsidRPr="00C81A8E">
        <w:rPr>
          <w:rFonts w:ascii="Helvetica" w:hAnsi="Helvetica" w:cs="Helvetica"/>
          <w:b/>
          <w:color w:val="333333"/>
        </w:rPr>
        <w:t>Carlos Sebastián</w:t>
      </w:r>
      <w:r w:rsidR="00C81A8E">
        <w:rPr>
          <w:rFonts w:ascii="Helvetica" w:hAnsi="Helvetica" w:cs="Helvetica"/>
          <w:color w:val="333333"/>
        </w:rPr>
        <w:t>;</w:t>
      </w:r>
      <w:r w:rsidR="00E74FED">
        <w:rPr>
          <w:rFonts w:ascii="Helvetica" w:hAnsi="Helvetica" w:cs="Helvetica"/>
          <w:color w:val="333333"/>
        </w:rPr>
        <w:t xml:space="preserve"> </w:t>
      </w:r>
      <w:r w:rsidR="00E74FED" w:rsidRPr="00C81A8E">
        <w:rPr>
          <w:rFonts w:ascii="Helvetica" w:hAnsi="Helvetica" w:cs="Helvetica"/>
          <w:b/>
          <w:color w:val="333333"/>
        </w:rPr>
        <w:t xml:space="preserve">Manuel </w:t>
      </w:r>
      <w:proofErr w:type="spellStart"/>
      <w:r w:rsidR="00DE1632">
        <w:rPr>
          <w:rFonts w:ascii="Helvetica" w:hAnsi="Helvetica" w:cs="Helvetica"/>
          <w:b/>
          <w:color w:val="333333"/>
        </w:rPr>
        <w:t>V</w:t>
      </w:r>
      <w:r w:rsidR="00E74FED" w:rsidRPr="00C81A8E">
        <w:rPr>
          <w:rFonts w:ascii="Helvetica" w:hAnsi="Helvetica" w:cs="Helvetica"/>
          <w:b/>
          <w:color w:val="333333"/>
        </w:rPr>
        <w:t>illoria</w:t>
      </w:r>
      <w:proofErr w:type="spellEnd"/>
      <w:r w:rsidR="00E74FED">
        <w:rPr>
          <w:rFonts w:ascii="Helvetica" w:hAnsi="Helvetica" w:cs="Helvetica"/>
          <w:color w:val="333333"/>
        </w:rPr>
        <w:t xml:space="preserve">, </w:t>
      </w:r>
      <w:r w:rsidR="00C81A8E">
        <w:rPr>
          <w:rFonts w:ascii="Helvetica" w:hAnsi="Helvetica" w:cs="Helvetica"/>
          <w:color w:val="333333"/>
        </w:rPr>
        <w:t>c</w:t>
      </w:r>
      <w:r w:rsidR="00C81A8E" w:rsidRPr="00C81A8E">
        <w:rPr>
          <w:rFonts w:ascii="Helvetica" w:hAnsi="Helvetica" w:cs="Helvetica"/>
          <w:color w:val="333333"/>
        </w:rPr>
        <w:t>atedrático de Ciencia Política y Administración de la Universidad Rey Juan Carlos</w:t>
      </w:r>
      <w:r w:rsidR="00C81A8E">
        <w:rPr>
          <w:rFonts w:ascii="Helvetica" w:hAnsi="Helvetica" w:cs="Helvetica"/>
          <w:color w:val="333333"/>
        </w:rPr>
        <w:t xml:space="preserve">; </w:t>
      </w:r>
      <w:r w:rsidR="00E74FED" w:rsidRPr="00C81A8E">
        <w:rPr>
          <w:rFonts w:ascii="Helvetica" w:hAnsi="Helvetica" w:cs="Helvetica"/>
          <w:b/>
          <w:color w:val="333333"/>
        </w:rPr>
        <w:t xml:space="preserve">Juan José </w:t>
      </w:r>
      <w:proofErr w:type="spellStart"/>
      <w:r w:rsidR="00E74FED" w:rsidRPr="00C81A8E">
        <w:rPr>
          <w:rFonts w:ascii="Helvetica" w:hAnsi="Helvetica" w:cs="Helvetica"/>
          <w:b/>
          <w:color w:val="333333"/>
        </w:rPr>
        <w:t>Ganuza</w:t>
      </w:r>
      <w:proofErr w:type="spellEnd"/>
      <w:r w:rsidR="00796D26">
        <w:rPr>
          <w:rFonts w:ascii="Helvetica" w:hAnsi="Helvetica" w:cs="Helvetica"/>
          <w:color w:val="333333"/>
        </w:rPr>
        <w:t>,</w:t>
      </w:r>
      <w:r w:rsidR="00C81A8E" w:rsidRPr="00C81A8E">
        <w:t xml:space="preserve"> </w:t>
      </w:r>
      <w:r w:rsidR="00C81A8E">
        <w:rPr>
          <w:rFonts w:ascii="Helvetica" w:hAnsi="Helvetica" w:cs="Helvetica"/>
          <w:color w:val="333333"/>
        </w:rPr>
        <w:t>c</w:t>
      </w:r>
      <w:r w:rsidR="00C81A8E" w:rsidRPr="00C81A8E">
        <w:rPr>
          <w:rFonts w:ascii="Helvetica" w:hAnsi="Helvetica" w:cs="Helvetica"/>
          <w:color w:val="333333"/>
        </w:rPr>
        <w:t xml:space="preserve">atedrático de Economía y Empresa de la </w:t>
      </w:r>
      <w:proofErr w:type="spellStart"/>
      <w:r w:rsidR="00C81A8E" w:rsidRPr="00C81A8E">
        <w:rPr>
          <w:rFonts w:ascii="Helvetica" w:hAnsi="Helvetica" w:cs="Helvetica"/>
          <w:color w:val="333333"/>
        </w:rPr>
        <w:t>Universitat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</w:t>
      </w:r>
      <w:proofErr w:type="spellStart"/>
      <w:r w:rsidR="00C81A8E" w:rsidRPr="00C81A8E">
        <w:rPr>
          <w:rFonts w:ascii="Helvetica" w:hAnsi="Helvetica" w:cs="Helvetica"/>
          <w:color w:val="333333"/>
        </w:rPr>
        <w:t>Pompeu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</w:t>
      </w:r>
      <w:proofErr w:type="spellStart"/>
      <w:r w:rsidR="00C81A8E" w:rsidRPr="00C81A8E">
        <w:rPr>
          <w:rFonts w:ascii="Helvetica" w:hAnsi="Helvetica" w:cs="Helvetica"/>
          <w:color w:val="333333"/>
        </w:rPr>
        <w:t>Fa</w:t>
      </w:r>
      <w:r w:rsidR="00C81A8E">
        <w:rPr>
          <w:rFonts w:ascii="Helvetica" w:hAnsi="Helvetica" w:cs="Helvetica"/>
          <w:color w:val="333333"/>
        </w:rPr>
        <w:t>bra</w:t>
      </w:r>
      <w:proofErr w:type="spellEnd"/>
      <w:r w:rsidR="00C81A8E">
        <w:rPr>
          <w:rFonts w:ascii="Helvetica" w:hAnsi="Helvetica" w:cs="Helvetica"/>
          <w:color w:val="333333"/>
        </w:rPr>
        <w:t xml:space="preserve"> y d</w:t>
      </w:r>
      <w:r w:rsidR="00C81A8E" w:rsidRPr="00C81A8E">
        <w:rPr>
          <w:rFonts w:ascii="Helvetica" w:hAnsi="Helvetica" w:cs="Helvetica"/>
          <w:color w:val="333333"/>
        </w:rPr>
        <w:t xml:space="preserve">irector de Dirección Estratégica y Economía Industrial de </w:t>
      </w:r>
      <w:proofErr w:type="spellStart"/>
      <w:r w:rsidR="00C81A8E" w:rsidRPr="00C81A8E">
        <w:rPr>
          <w:rFonts w:ascii="Helvetica" w:hAnsi="Helvetica" w:cs="Helvetica"/>
          <w:color w:val="333333"/>
        </w:rPr>
        <w:t>Funcas</w:t>
      </w:r>
      <w:proofErr w:type="spellEnd"/>
      <w:r w:rsidR="00C81A8E">
        <w:rPr>
          <w:rFonts w:ascii="Helvetica" w:hAnsi="Helvetica" w:cs="Helvetica"/>
          <w:color w:val="333333"/>
        </w:rPr>
        <w:t>;</w:t>
      </w:r>
      <w:r w:rsidR="00796D26">
        <w:rPr>
          <w:rFonts w:ascii="Helvetica" w:hAnsi="Helvetica" w:cs="Helvetica"/>
          <w:color w:val="333333"/>
        </w:rPr>
        <w:t xml:space="preserve"> </w:t>
      </w:r>
      <w:r w:rsidR="00796D26" w:rsidRPr="00C81A8E">
        <w:rPr>
          <w:rFonts w:ascii="Helvetica" w:hAnsi="Helvetica" w:cs="Helvetica"/>
          <w:b/>
          <w:color w:val="333333"/>
        </w:rPr>
        <w:t xml:space="preserve">Joan A. </w:t>
      </w:r>
      <w:proofErr w:type="spellStart"/>
      <w:r w:rsidR="00796D26" w:rsidRPr="00C81A8E">
        <w:rPr>
          <w:rFonts w:ascii="Helvetica" w:hAnsi="Helvetica" w:cs="Helvetica"/>
          <w:b/>
          <w:color w:val="333333"/>
        </w:rPr>
        <w:t>Llinares</w:t>
      </w:r>
      <w:proofErr w:type="spellEnd"/>
      <w:r w:rsidR="00796D26">
        <w:rPr>
          <w:rFonts w:ascii="Helvetica" w:hAnsi="Helvetica" w:cs="Helvetica"/>
          <w:color w:val="333333"/>
        </w:rPr>
        <w:t xml:space="preserve">, </w:t>
      </w:r>
      <w:r w:rsidR="00C81A8E">
        <w:rPr>
          <w:rFonts w:ascii="Helvetica" w:hAnsi="Helvetica" w:cs="Helvetica"/>
          <w:color w:val="333333"/>
        </w:rPr>
        <w:t>d</w:t>
      </w:r>
      <w:r w:rsidR="00C81A8E" w:rsidRPr="00C81A8E">
        <w:rPr>
          <w:rFonts w:ascii="Helvetica" w:hAnsi="Helvetica" w:cs="Helvetica"/>
          <w:color w:val="333333"/>
        </w:rPr>
        <w:t xml:space="preserve">irector de la </w:t>
      </w:r>
      <w:proofErr w:type="spellStart"/>
      <w:r w:rsidR="00C81A8E" w:rsidRPr="00C81A8E">
        <w:rPr>
          <w:rFonts w:ascii="Helvetica" w:hAnsi="Helvetica" w:cs="Helvetica"/>
          <w:color w:val="333333"/>
        </w:rPr>
        <w:t>Agència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de </w:t>
      </w:r>
      <w:proofErr w:type="spellStart"/>
      <w:r w:rsidR="00C81A8E" w:rsidRPr="00C81A8E">
        <w:rPr>
          <w:rFonts w:ascii="Helvetica" w:hAnsi="Helvetica" w:cs="Helvetica"/>
          <w:color w:val="333333"/>
        </w:rPr>
        <w:t>Prevenció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i </w:t>
      </w:r>
      <w:proofErr w:type="spellStart"/>
      <w:r w:rsidR="00C81A8E" w:rsidRPr="00C81A8E">
        <w:rPr>
          <w:rFonts w:ascii="Helvetica" w:hAnsi="Helvetica" w:cs="Helvetica"/>
          <w:color w:val="333333"/>
        </w:rPr>
        <w:t>Lluita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contra el </w:t>
      </w:r>
      <w:proofErr w:type="spellStart"/>
      <w:r w:rsidR="00C81A8E" w:rsidRPr="00C81A8E">
        <w:rPr>
          <w:rFonts w:ascii="Helvetica" w:hAnsi="Helvetica" w:cs="Helvetica"/>
          <w:color w:val="333333"/>
        </w:rPr>
        <w:t>Frau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i la </w:t>
      </w:r>
      <w:proofErr w:type="spellStart"/>
      <w:r w:rsidR="00C81A8E" w:rsidRPr="00C81A8E">
        <w:rPr>
          <w:rFonts w:ascii="Helvetica" w:hAnsi="Helvetica" w:cs="Helvetica"/>
          <w:color w:val="333333"/>
        </w:rPr>
        <w:t>Corrupció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de la </w:t>
      </w:r>
      <w:proofErr w:type="spellStart"/>
      <w:r w:rsidR="00C81A8E" w:rsidRPr="00C81A8E">
        <w:rPr>
          <w:rFonts w:ascii="Helvetica" w:hAnsi="Helvetica" w:cs="Helvetica"/>
          <w:color w:val="333333"/>
        </w:rPr>
        <w:t>Comunitat</w:t>
      </w:r>
      <w:proofErr w:type="spellEnd"/>
      <w:r w:rsidR="00C81A8E" w:rsidRPr="00C81A8E">
        <w:rPr>
          <w:rFonts w:ascii="Helvetica" w:hAnsi="Helvetica" w:cs="Helvetica"/>
          <w:color w:val="333333"/>
        </w:rPr>
        <w:t xml:space="preserve"> Valenciana</w:t>
      </w:r>
      <w:r w:rsidR="00C81A8E">
        <w:rPr>
          <w:rFonts w:ascii="Helvetica" w:hAnsi="Helvetica" w:cs="Helvetica"/>
          <w:color w:val="333333"/>
        </w:rPr>
        <w:t xml:space="preserve">; </w:t>
      </w:r>
      <w:r w:rsidR="00796D26" w:rsidRPr="00C81A8E">
        <w:rPr>
          <w:rFonts w:ascii="Helvetica" w:hAnsi="Helvetica" w:cs="Helvetica"/>
          <w:b/>
          <w:color w:val="333333"/>
        </w:rPr>
        <w:t>Silvia Muñoz</w:t>
      </w:r>
      <w:r w:rsidR="00C81A8E">
        <w:rPr>
          <w:rFonts w:ascii="Helvetica" w:hAnsi="Helvetica" w:cs="Helvetica"/>
          <w:color w:val="333333"/>
        </w:rPr>
        <w:t>, m</w:t>
      </w:r>
      <w:r w:rsidR="00C81A8E" w:rsidRPr="00C81A8E">
        <w:rPr>
          <w:rFonts w:ascii="Helvetica" w:hAnsi="Helvetica" w:cs="Helvetica"/>
          <w:color w:val="333333"/>
        </w:rPr>
        <w:t>agistrada titular del Juzgado de Primera Instancia n.5 de Arrecife (Lanzarote)</w:t>
      </w:r>
      <w:r w:rsidR="00C81A8E">
        <w:rPr>
          <w:rFonts w:ascii="Helvetica" w:hAnsi="Helvetica" w:cs="Helvetica"/>
          <w:color w:val="333333"/>
        </w:rPr>
        <w:t>;</w:t>
      </w:r>
      <w:r w:rsidR="00796D26">
        <w:rPr>
          <w:rFonts w:ascii="Helvetica" w:hAnsi="Helvetica" w:cs="Helvetica"/>
          <w:color w:val="333333"/>
        </w:rPr>
        <w:t xml:space="preserve"> y </w:t>
      </w:r>
      <w:r w:rsidR="00796D26" w:rsidRPr="00C81A8E">
        <w:rPr>
          <w:rFonts w:ascii="Helvetica" w:hAnsi="Helvetica" w:cs="Helvetica"/>
          <w:b/>
          <w:color w:val="333333"/>
        </w:rPr>
        <w:t xml:space="preserve">Antonio </w:t>
      </w:r>
      <w:proofErr w:type="spellStart"/>
      <w:r w:rsidR="00796D26" w:rsidRPr="00C81A8E">
        <w:rPr>
          <w:rFonts w:ascii="Helvetica" w:hAnsi="Helvetica" w:cs="Helvetica"/>
          <w:b/>
          <w:color w:val="333333"/>
        </w:rPr>
        <w:t>Penadés</w:t>
      </w:r>
      <w:proofErr w:type="spellEnd"/>
      <w:r w:rsidR="00C81A8E">
        <w:rPr>
          <w:rFonts w:ascii="Helvetica" w:hAnsi="Helvetica" w:cs="Helvetica"/>
          <w:color w:val="333333"/>
        </w:rPr>
        <w:t>, p</w:t>
      </w:r>
      <w:r w:rsidR="00C81A8E" w:rsidRPr="00C81A8E">
        <w:rPr>
          <w:rFonts w:ascii="Helvetica" w:hAnsi="Helvetica" w:cs="Helvetica"/>
          <w:color w:val="333333"/>
        </w:rPr>
        <w:t>residente de Acción Cívica contra la corrupción</w:t>
      </w:r>
      <w:r>
        <w:rPr>
          <w:rFonts w:ascii="Helvetica" w:hAnsi="Helvetica" w:cs="Helvetica"/>
          <w:color w:val="333333"/>
        </w:rPr>
        <w:t xml:space="preserve">. </w:t>
      </w:r>
    </w:p>
    <w:p w14:paraId="449A95D4" w14:textId="77777777" w:rsidR="009B2B99" w:rsidRDefault="009B2B99" w:rsidP="00A02B74">
      <w:pPr>
        <w:rPr>
          <w:rFonts w:ascii="Helvetica" w:hAnsi="Helvetica" w:cs="Helvetica"/>
        </w:rPr>
      </w:pPr>
    </w:p>
    <w:p w14:paraId="7972B510" w14:textId="77777777" w:rsidR="00FD79E1" w:rsidRPr="00A02B74" w:rsidRDefault="009333B2" w:rsidP="00C212EB">
      <w:pPr>
        <w:jc w:val="both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964A1" wp14:editId="46464D21">
                <wp:simplePos x="0" y="0"/>
                <wp:positionH relativeFrom="column">
                  <wp:posOffset>14568</wp:posOffset>
                </wp:positionH>
                <wp:positionV relativeFrom="paragraph">
                  <wp:posOffset>154126</wp:posOffset>
                </wp:positionV>
                <wp:extent cx="2665927" cy="1313645"/>
                <wp:effectExtent l="0" t="0" r="1270" b="12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927" cy="1313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6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26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265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4 Rectángulo" o:spid="_x0000_s1026" style="position:absolute;margin-left:1.15pt;margin-top:12.15pt;width:209.9pt;height:10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" fillcolor="#99b2b4" stroked="f" strokeweight="1pt">
                <v:fill color2="#e1e7e8" rotate="t" angle="225" colors="0 #99b2b4;.5 #c2cfd0;1 #e1e7e8" focus="100%" type="gradient"/>
              </v:rect>
            </w:pict>
          </mc:Fallback>
        </mc:AlternateContent>
      </w:r>
    </w:p>
    <w:p w14:paraId="409918DB" w14:textId="77777777" w:rsidR="0082443F" w:rsidRDefault="0082443F" w:rsidP="00A02B74">
      <w:pPr>
        <w:ind w:left="340"/>
        <w:jc w:val="both"/>
        <w:rPr>
          <w:rFonts w:ascii="Helvetica" w:hAnsi="Helvetica" w:cs="Helvetica"/>
          <w:b/>
        </w:rPr>
      </w:pPr>
      <w:r w:rsidRPr="00556018">
        <w:rPr>
          <w:rFonts w:ascii="Helvetica" w:hAnsi="Helvetica" w:cs="Helvetica"/>
          <w:b/>
        </w:rPr>
        <w:t>Para más información:</w:t>
      </w:r>
    </w:p>
    <w:p w14:paraId="4C5B4EB8" w14:textId="77777777" w:rsidR="002837A8" w:rsidRPr="00556018" w:rsidRDefault="002837A8" w:rsidP="00A02B74">
      <w:pPr>
        <w:spacing w:after="0"/>
        <w:ind w:left="34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Yolanda </w:t>
      </w:r>
      <w:proofErr w:type="spellStart"/>
      <w:r>
        <w:rPr>
          <w:rFonts w:ascii="Helvetica" w:hAnsi="Helvetica" w:cs="Helvetica"/>
          <w:b/>
        </w:rPr>
        <w:t>Jover</w:t>
      </w:r>
      <w:proofErr w:type="spellEnd"/>
    </w:p>
    <w:p w14:paraId="65E7B56B" w14:textId="77777777" w:rsidR="0082443F" w:rsidRPr="00556018" w:rsidRDefault="0082443F" w:rsidP="00A02B74">
      <w:pPr>
        <w:spacing w:after="120"/>
        <w:ind w:left="340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 xml:space="preserve">Departamento de Comunicación </w:t>
      </w:r>
      <w:r w:rsidR="009333B2" w:rsidRPr="00A02B74">
        <w:rPr>
          <w:rFonts w:ascii="Helvetica" w:hAnsi="Helvetica" w:cs="Helvetica"/>
        </w:rPr>
        <w:br/>
      </w:r>
      <w:r w:rsidRPr="00556018">
        <w:rPr>
          <w:rFonts w:ascii="Helvetica" w:hAnsi="Helvetica" w:cs="Helvetica"/>
        </w:rPr>
        <w:t>prensa@ivie.es</w:t>
      </w:r>
    </w:p>
    <w:p w14:paraId="0527BC24" w14:textId="32883C78" w:rsidR="00DF584F" w:rsidRPr="00EE1087" w:rsidRDefault="0082443F" w:rsidP="000C42C8">
      <w:pPr>
        <w:ind w:left="340"/>
        <w:jc w:val="both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>Telf. 963190050</w:t>
      </w:r>
      <w:r w:rsidR="00FF4176">
        <w:rPr>
          <w:rFonts w:ascii="Helvetica" w:hAnsi="Helvetica" w:cs="Helvetica"/>
        </w:rPr>
        <w:t xml:space="preserve"> / 608</w:t>
      </w:r>
      <w:r w:rsidR="000F3598">
        <w:rPr>
          <w:rFonts w:ascii="Helvetica" w:hAnsi="Helvetica" w:cs="Helvetica"/>
        </w:rPr>
        <w:t xml:space="preserve"> 74 83 35</w:t>
      </w:r>
    </w:p>
    <w:sectPr w:rsidR="00DF584F" w:rsidRPr="00EE1087" w:rsidSect="00A02B74">
      <w:footerReference w:type="default" r:id="rId15"/>
      <w:headerReference w:type="first" r:id="rId16"/>
      <w:footerReference w:type="first" r:id="rId17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DFAF7" w14:textId="77777777" w:rsidR="00446D42" w:rsidRDefault="00446D42" w:rsidP="00ED5518">
      <w:pPr>
        <w:spacing w:after="0" w:line="240" w:lineRule="auto"/>
      </w:pPr>
      <w:r>
        <w:separator/>
      </w:r>
    </w:p>
  </w:endnote>
  <w:endnote w:type="continuationSeparator" w:id="0">
    <w:p w14:paraId="74A81D7D" w14:textId="77777777" w:rsidR="00446D42" w:rsidRDefault="00446D42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2CC93" w14:textId="77777777" w:rsidR="00446D42" w:rsidRDefault="00446D42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4271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6F7D" w14:textId="77777777" w:rsidR="00446D42" w:rsidRDefault="00446D42" w:rsidP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427138">
      <w:rPr>
        <w:noProof/>
      </w:rPr>
      <w:t>1</w:t>
    </w:r>
    <w:r>
      <w:fldChar w:fldCharType="end"/>
    </w:r>
  </w:p>
  <w:p w14:paraId="4898E16E" w14:textId="77777777" w:rsidR="00446D42" w:rsidRDefault="00446D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25E6" w14:textId="77777777" w:rsidR="00446D42" w:rsidRDefault="00446D42" w:rsidP="00ED5518">
      <w:pPr>
        <w:spacing w:after="0" w:line="240" w:lineRule="auto"/>
      </w:pPr>
      <w:r>
        <w:separator/>
      </w:r>
    </w:p>
  </w:footnote>
  <w:footnote w:type="continuationSeparator" w:id="0">
    <w:p w14:paraId="4D0992B0" w14:textId="77777777" w:rsidR="00446D42" w:rsidRDefault="00446D42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6249F" w14:textId="77777777" w:rsidR="00C04254" w:rsidRDefault="00C04254">
    <w:pPr>
      <w:pStyle w:val="Encabezado"/>
    </w:pPr>
  </w:p>
  <w:p w14:paraId="60E7BB28" w14:textId="3F0D3D61" w:rsidR="00C04254" w:rsidRDefault="00C04254">
    <w:pPr>
      <w:pStyle w:val="Encabezado"/>
    </w:pPr>
    <w:r>
      <w:rPr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773B4265" wp14:editId="79F88B7A">
          <wp:simplePos x="0" y="0"/>
          <wp:positionH relativeFrom="column">
            <wp:posOffset>-19685</wp:posOffset>
          </wp:positionH>
          <wp:positionV relativeFrom="paragraph">
            <wp:posOffset>125730</wp:posOffset>
          </wp:positionV>
          <wp:extent cx="978535" cy="5162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v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3CDBD" w14:textId="77777777" w:rsidR="00C04254" w:rsidRDefault="00C04254">
    <w:pPr>
      <w:pStyle w:val="Encabezado"/>
    </w:pPr>
  </w:p>
  <w:p w14:paraId="3FA735C4" w14:textId="3C49D169" w:rsidR="00446D42" w:rsidRDefault="00C04254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3D4"/>
    <w:multiLevelType w:val="hybridMultilevel"/>
    <w:tmpl w:val="59AC9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42A6"/>
    <w:multiLevelType w:val="hybridMultilevel"/>
    <w:tmpl w:val="3C641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4CEB"/>
    <w:multiLevelType w:val="hybridMultilevel"/>
    <w:tmpl w:val="26B2FA02"/>
    <w:lvl w:ilvl="0" w:tplc="B9F20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0F50"/>
    <w:rsid w:val="00024175"/>
    <w:rsid w:val="000733FA"/>
    <w:rsid w:val="000747A1"/>
    <w:rsid w:val="00096093"/>
    <w:rsid w:val="000C2555"/>
    <w:rsid w:val="000C42C8"/>
    <w:rsid w:val="000C4443"/>
    <w:rsid w:val="000C5D30"/>
    <w:rsid w:val="000D5C26"/>
    <w:rsid w:val="000E01C0"/>
    <w:rsid w:val="000E5E4F"/>
    <w:rsid w:val="000F3598"/>
    <w:rsid w:val="00117C54"/>
    <w:rsid w:val="0013606E"/>
    <w:rsid w:val="0014693A"/>
    <w:rsid w:val="00162420"/>
    <w:rsid w:val="0016457C"/>
    <w:rsid w:val="00165E88"/>
    <w:rsid w:val="00171BAC"/>
    <w:rsid w:val="001A6A4F"/>
    <w:rsid w:val="001C3AA4"/>
    <w:rsid w:val="001C5E70"/>
    <w:rsid w:val="001C7D17"/>
    <w:rsid w:val="001D1531"/>
    <w:rsid w:val="001D4BB0"/>
    <w:rsid w:val="00207D52"/>
    <w:rsid w:val="00212869"/>
    <w:rsid w:val="00224668"/>
    <w:rsid w:val="00237562"/>
    <w:rsid w:val="00246E3B"/>
    <w:rsid w:val="002503A2"/>
    <w:rsid w:val="002837A8"/>
    <w:rsid w:val="00284AEA"/>
    <w:rsid w:val="00292B71"/>
    <w:rsid w:val="002C6C1B"/>
    <w:rsid w:val="003138D4"/>
    <w:rsid w:val="00315A5B"/>
    <w:rsid w:val="0032065F"/>
    <w:rsid w:val="00343FB4"/>
    <w:rsid w:val="00351C4C"/>
    <w:rsid w:val="00363EBF"/>
    <w:rsid w:val="003678E4"/>
    <w:rsid w:val="00380CE7"/>
    <w:rsid w:val="00386057"/>
    <w:rsid w:val="003B2954"/>
    <w:rsid w:val="003F3DC2"/>
    <w:rsid w:val="004133D6"/>
    <w:rsid w:val="00427138"/>
    <w:rsid w:val="004365F9"/>
    <w:rsid w:val="00446D42"/>
    <w:rsid w:val="00453AA3"/>
    <w:rsid w:val="004719EB"/>
    <w:rsid w:val="00477BC1"/>
    <w:rsid w:val="00484CE0"/>
    <w:rsid w:val="00486262"/>
    <w:rsid w:val="004A4795"/>
    <w:rsid w:val="004A6727"/>
    <w:rsid w:val="004B0DCA"/>
    <w:rsid w:val="004B7E8D"/>
    <w:rsid w:val="004C0816"/>
    <w:rsid w:val="004C3792"/>
    <w:rsid w:val="004E1897"/>
    <w:rsid w:val="004E5C92"/>
    <w:rsid w:val="005240D2"/>
    <w:rsid w:val="00527015"/>
    <w:rsid w:val="00552B8E"/>
    <w:rsid w:val="005544AA"/>
    <w:rsid w:val="00556018"/>
    <w:rsid w:val="005620C3"/>
    <w:rsid w:val="00566C12"/>
    <w:rsid w:val="005A1860"/>
    <w:rsid w:val="005A30DD"/>
    <w:rsid w:val="005A4B19"/>
    <w:rsid w:val="005B7795"/>
    <w:rsid w:val="005C4997"/>
    <w:rsid w:val="005D1C39"/>
    <w:rsid w:val="005F07DB"/>
    <w:rsid w:val="00632232"/>
    <w:rsid w:val="00634A69"/>
    <w:rsid w:val="00635DC2"/>
    <w:rsid w:val="00637DF5"/>
    <w:rsid w:val="00640893"/>
    <w:rsid w:val="006662B8"/>
    <w:rsid w:val="00693B7B"/>
    <w:rsid w:val="006976B6"/>
    <w:rsid w:val="006E1459"/>
    <w:rsid w:val="006E41AF"/>
    <w:rsid w:val="006F4F56"/>
    <w:rsid w:val="006F5222"/>
    <w:rsid w:val="006F6C76"/>
    <w:rsid w:val="00710B09"/>
    <w:rsid w:val="00764299"/>
    <w:rsid w:val="00776743"/>
    <w:rsid w:val="0079217A"/>
    <w:rsid w:val="00796D26"/>
    <w:rsid w:val="007B444E"/>
    <w:rsid w:val="007C0BFF"/>
    <w:rsid w:val="007C3E7C"/>
    <w:rsid w:val="007C501A"/>
    <w:rsid w:val="007D4C4E"/>
    <w:rsid w:val="007F63A7"/>
    <w:rsid w:val="00802EFD"/>
    <w:rsid w:val="00803AB5"/>
    <w:rsid w:val="00823BC3"/>
    <w:rsid w:val="0082443F"/>
    <w:rsid w:val="0083565D"/>
    <w:rsid w:val="00836CAA"/>
    <w:rsid w:val="00840024"/>
    <w:rsid w:val="008414B0"/>
    <w:rsid w:val="00847B0C"/>
    <w:rsid w:val="00863E40"/>
    <w:rsid w:val="00870F15"/>
    <w:rsid w:val="0087314D"/>
    <w:rsid w:val="00875B8B"/>
    <w:rsid w:val="00891CE0"/>
    <w:rsid w:val="008974BB"/>
    <w:rsid w:val="008E1297"/>
    <w:rsid w:val="008E52EC"/>
    <w:rsid w:val="0090477F"/>
    <w:rsid w:val="00905284"/>
    <w:rsid w:val="009333B2"/>
    <w:rsid w:val="00942290"/>
    <w:rsid w:val="00944A23"/>
    <w:rsid w:val="0095414D"/>
    <w:rsid w:val="0097460A"/>
    <w:rsid w:val="009832C2"/>
    <w:rsid w:val="0098556B"/>
    <w:rsid w:val="009B2B99"/>
    <w:rsid w:val="009B68A4"/>
    <w:rsid w:val="009C5950"/>
    <w:rsid w:val="009D4FCC"/>
    <w:rsid w:val="00A02B74"/>
    <w:rsid w:val="00A05A23"/>
    <w:rsid w:val="00A134FA"/>
    <w:rsid w:val="00A42373"/>
    <w:rsid w:val="00A61B18"/>
    <w:rsid w:val="00A71549"/>
    <w:rsid w:val="00A731C5"/>
    <w:rsid w:val="00A746D1"/>
    <w:rsid w:val="00AB59D1"/>
    <w:rsid w:val="00AD353C"/>
    <w:rsid w:val="00AD5082"/>
    <w:rsid w:val="00AE4C9F"/>
    <w:rsid w:val="00AF4F87"/>
    <w:rsid w:val="00B04032"/>
    <w:rsid w:val="00B06079"/>
    <w:rsid w:val="00B40F92"/>
    <w:rsid w:val="00B61887"/>
    <w:rsid w:val="00B654EC"/>
    <w:rsid w:val="00B8168E"/>
    <w:rsid w:val="00B8722C"/>
    <w:rsid w:val="00BA4EF9"/>
    <w:rsid w:val="00BC6109"/>
    <w:rsid w:val="00BE37F0"/>
    <w:rsid w:val="00BE5988"/>
    <w:rsid w:val="00C04254"/>
    <w:rsid w:val="00C06065"/>
    <w:rsid w:val="00C212EB"/>
    <w:rsid w:val="00C45DC4"/>
    <w:rsid w:val="00C47D18"/>
    <w:rsid w:val="00C81A8E"/>
    <w:rsid w:val="00C93D8E"/>
    <w:rsid w:val="00C96A48"/>
    <w:rsid w:val="00CC749B"/>
    <w:rsid w:val="00CE7D7F"/>
    <w:rsid w:val="00CF429A"/>
    <w:rsid w:val="00D15A92"/>
    <w:rsid w:val="00D24421"/>
    <w:rsid w:val="00D26F41"/>
    <w:rsid w:val="00D564A8"/>
    <w:rsid w:val="00D6629B"/>
    <w:rsid w:val="00D73C0D"/>
    <w:rsid w:val="00D90A3A"/>
    <w:rsid w:val="00D92075"/>
    <w:rsid w:val="00DA1D87"/>
    <w:rsid w:val="00DA3510"/>
    <w:rsid w:val="00DA484A"/>
    <w:rsid w:val="00DA58B4"/>
    <w:rsid w:val="00DC10DF"/>
    <w:rsid w:val="00DE1632"/>
    <w:rsid w:val="00DF4A13"/>
    <w:rsid w:val="00DF584F"/>
    <w:rsid w:val="00E163CB"/>
    <w:rsid w:val="00E74FED"/>
    <w:rsid w:val="00E9577B"/>
    <w:rsid w:val="00EB42B7"/>
    <w:rsid w:val="00ED1D01"/>
    <w:rsid w:val="00ED5518"/>
    <w:rsid w:val="00EE1087"/>
    <w:rsid w:val="00EF330A"/>
    <w:rsid w:val="00F31DF2"/>
    <w:rsid w:val="00F4349F"/>
    <w:rsid w:val="00F47323"/>
    <w:rsid w:val="00F55F07"/>
    <w:rsid w:val="00F72FFD"/>
    <w:rsid w:val="00F73859"/>
    <w:rsid w:val="00F74AAA"/>
    <w:rsid w:val="00FA22FA"/>
    <w:rsid w:val="00FB4349"/>
    <w:rsid w:val="00FC0C40"/>
    <w:rsid w:val="00FD586B"/>
    <w:rsid w:val="00FD79E1"/>
    <w:rsid w:val="00FE5D50"/>
    <w:rsid w:val="00FF1B8C"/>
    <w:rsid w:val="00FF4176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55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Refdecomentario">
    <w:name w:val="annotation reference"/>
    <w:basedOn w:val="Fuentedeprrafopredeter"/>
    <w:uiPriority w:val="99"/>
    <w:semiHidden/>
    <w:unhideWhenUsed/>
    <w:rsid w:val="00E9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77B"/>
    <w:rPr>
      <w:b/>
      <w:bCs/>
      <w:sz w:val="20"/>
      <w:szCs w:val="20"/>
    </w:rPr>
  </w:style>
  <w:style w:type="character" w:customStyle="1" w:styleId="itemizelabel">
    <w:name w:val="itemize_label"/>
    <w:basedOn w:val="Fuentedeprrafopredeter"/>
    <w:rsid w:val="00A71549"/>
  </w:style>
  <w:style w:type="table" w:styleId="Tablaconcuadrcula">
    <w:name w:val="Table Grid"/>
    <w:basedOn w:val="Tablanormal"/>
    <w:uiPriority w:val="39"/>
    <w:rsid w:val="00B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Refdecomentario">
    <w:name w:val="annotation reference"/>
    <w:basedOn w:val="Fuentedeprrafopredeter"/>
    <w:uiPriority w:val="99"/>
    <w:semiHidden/>
    <w:unhideWhenUsed/>
    <w:rsid w:val="00E9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77B"/>
    <w:rPr>
      <w:b/>
      <w:bCs/>
      <w:sz w:val="20"/>
      <w:szCs w:val="20"/>
    </w:rPr>
  </w:style>
  <w:style w:type="character" w:customStyle="1" w:styleId="itemizelabel">
    <w:name w:val="itemize_label"/>
    <w:basedOn w:val="Fuentedeprrafopredeter"/>
    <w:rsid w:val="00A71549"/>
  </w:style>
  <w:style w:type="table" w:styleId="Tablaconcuadrcula">
    <w:name w:val="Table Grid"/>
    <w:basedOn w:val="Tablanormal"/>
    <w:uiPriority w:val="39"/>
    <w:rsid w:val="00B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998">
          <w:marLeft w:val="36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bater\Downloads\Graf2_2_act2018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(2).xlsx]Sheet1'!$D$68</c:f>
              <c:strCache>
                <c:ptCount val="1"/>
                <c:pt idx="0">
                  <c:v>Indicador combinado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'[Graf2_2_act2018 (2).xlsx]Sheet1'!$B$69:$B$76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(2).xlsx]Sheet1'!$D$69:$D$76</c:f>
              <c:numCache>
                <c:formatCode>0.00</c:formatCode>
                <c:ptCount val="8"/>
                <c:pt idx="0">
                  <c:v>6.801620447635651</c:v>
                </c:pt>
                <c:pt idx="1">
                  <c:v>8.1934599876403826</c:v>
                </c:pt>
                <c:pt idx="2">
                  <c:v>8.3363525867462194</c:v>
                </c:pt>
                <c:pt idx="3">
                  <c:v>7.5421780586242679</c:v>
                </c:pt>
                <c:pt idx="4">
                  <c:v>7.1818657875061032</c:v>
                </c:pt>
                <c:pt idx="5">
                  <c:v>6.1093711018562313</c:v>
                </c:pt>
                <c:pt idx="6">
                  <c:v>5.4825489878654476</c:v>
                </c:pt>
                <c:pt idx="7">
                  <c:v>7.90323429107666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83648"/>
        <c:axId val="37485568"/>
      </c:barChart>
      <c:catAx>
        <c:axId val="374836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37485568"/>
        <c:crosses val="autoZero"/>
        <c:auto val="1"/>
        <c:lblAlgn val="ctr"/>
        <c:lblOffset val="100"/>
        <c:noMultiLvlLbl val="0"/>
      </c:catAx>
      <c:valAx>
        <c:axId val="37485568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37483648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(2).xlsx]Sheet1'!$C$54</c:f>
              <c:strCache>
                <c:ptCount val="1"/>
                <c:pt idx="0">
                  <c:v>Voz y rendición de cuentas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'[Graf2_2_act2018 (2).xlsx]Sheet1'!$B$55:$B$62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(2).xlsx]Sheet1'!$C$55:$C$62</c:f>
              <c:numCache>
                <c:formatCode>0.00</c:formatCode>
                <c:ptCount val="8"/>
                <c:pt idx="0">
                  <c:v>7.053433895111084</c:v>
                </c:pt>
                <c:pt idx="1">
                  <c:v>7.6643204689025843</c:v>
                </c:pt>
                <c:pt idx="2">
                  <c:v>7.7780249118804896</c:v>
                </c:pt>
                <c:pt idx="3">
                  <c:v>7.2968292236328134</c:v>
                </c:pt>
                <c:pt idx="4">
                  <c:v>7.4150404930114799</c:v>
                </c:pt>
                <c:pt idx="5">
                  <c:v>7.1069593429565394</c:v>
                </c:pt>
                <c:pt idx="6">
                  <c:v>6.4171024560928354</c:v>
                </c:pt>
                <c:pt idx="7">
                  <c:v>7.0990872383117676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513856"/>
        <c:axId val="121515392"/>
      </c:barChart>
      <c:catAx>
        <c:axId val="1215138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21515392"/>
        <c:crosses val="autoZero"/>
        <c:auto val="1"/>
        <c:lblAlgn val="ctr"/>
        <c:lblOffset val="100"/>
        <c:noMultiLvlLbl val="0"/>
      </c:catAx>
      <c:valAx>
        <c:axId val="121515392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121513856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(2).xlsx]Sheet1'!$G$54</c:f>
              <c:strCache>
                <c:ptCount val="1"/>
                <c:pt idx="0">
                  <c:v>Effectividad gubernamental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'[Graf2_2_act2018 (2).xlsx]Sheet1'!$B$69:$B$76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(2).xlsx]Sheet1'!$G$55:$G$62</c:f>
              <c:numCache>
                <c:formatCode>0.00</c:formatCode>
                <c:ptCount val="8"/>
                <c:pt idx="0">
                  <c:v>7.0681018829345703</c:v>
                </c:pt>
                <c:pt idx="1">
                  <c:v>7.8285245895385698</c:v>
                </c:pt>
                <c:pt idx="2">
                  <c:v>8.4387321472167969</c:v>
                </c:pt>
                <c:pt idx="3">
                  <c:v>7.7044599056243896</c:v>
                </c:pt>
                <c:pt idx="4">
                  <c:v>7.6643438339233398</c:v>
                </c:pt>
                <c:pt idx="5">
                  <c:v>6.0048396587371791</c:v>
                </c:pt>
                <c:pt idx="6">
                  <c:v>5.6273992061614919</c:v>
                </c:pt>
                <c:pt idx="7">
                  <c:v>8.1088054180145175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53984"/>
        <c:axId val="123755904"/>
      </c:barChart>
      <c:catAx>
        <c:axId val="1237539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23755904"/>
        <c:crosses val="autoZero"/>
        <c:auto val="1"/>
        <c:lblAlgn val="ctr"/>
        <c:lblOffset val="100"/>
        <c:noMultiLvlLbl val="0"/>
      </c:catAx>
      <c:valAx>
        <c:axId val="123755904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123753984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(2).xlsx]Sheet1'!$I$54</c:f>
              <c:strCache>
                <c:ptCount val="1"/>
                <c:pt idx="0">
                  <c:v>Calidad regulatoria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'[Graf2_2_act2018 (2).xlsx]Sheet1'!$B$69:$B$76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(2).xlsx]Sheet1'!$I$55:$I$62</c:f>
              <c:numCache>
                <c:formatCode>0.00</c:formatCode>
                <c:ptCount val="8"/>
                <c:pt idx="0">
                  <c:v>6.8856823444366464</c:v>
                </c:pt>
                <c:pt idx="1">
                  <c:v>8.428955078125</c:v>
                </c:pt>
                <c:pt idx="2">
                  <c:v>8.5662705898284912</c:v>
                </c:pt>
                <c:pt idx="3">
                  <c:v>7.3138999938964844</c:v>
                </c:pt>
                <c:pt idx="4">
                  <c:v>6.8174984455108651</c:v>
                </c:pt>
                <c:pt idx="5">
                  <c:v>6.4080446958541897</c:v>
                </c:pt>
                <c:pt idx="6">
                  <c:v>5.4763993620872498</c:v>
                </c:pt>
                <c:pt idx="7">
                  <c:v>8.2562296390533447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82400"/>
        <c:axId val="136283648"/>
      </c:barChart>
      <c:catAx>
        <c:axId val="1361824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36283648"/>
        <c:crosses val="autoZero"/>
        <c:auto val="1"/>
        <c:lblAlgn val="ctr"/>
        <c:lblOffset val="100"/>
        <c:noMultiLvlLbl val="0"/>
      </c:catAx>
      <c:valAx>
        <c:axId val="136283648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136182400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(2).xlsx]Sheet1'!$K$54</c:f>
              <c:strCache>
                <c:ptCount val="1"/>
                <c:pt idx="0">
                  <c:v>Respeto a la ley y los contratos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'[Graf2_2_act2018 (2).xlsx]Sheet1'!$B$69:$B$76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(2).xlsx]Sheet1'!$K$55:$K$62</c:f>
              <c:numCache>
                <c:formatCode>0.00</c:formatCode>
                <c:ptCount val="8"/>
                <c:pt idx="0">
                  <c:v>7.0169434547424316</c:v>
                </c:pt>
                <c:pt idx="1">
                  <c:v>8.3588969707489102</c:v>
                </c:pt>
                <c:pt idx="2">
                  <c:v>8.2166399955749512</c:v>
                </c:pt>
                <c:pt idx="3">
                  <c:v>7.8766088485717773</c:v>
                </c:pt>
                <c:pt idx="4">
                  <c:v>7.2642931938171396</c:v>
                </c:pt>
                <c:pt idx="5">
                  <c:v>5.6492977142334002</c:v>
                </c:pt>
                <c:pt idx="6">
                  <c:v>5.167902886867517</c:v>
                </c:pt>
                <c:pt idx="7">
                  <c:v>8.2894823551177996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30656"/>
        <c:axId val="145832576"/>
      </c:barChart>
      <c:catAx>
        <c:axId val="1458306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45832576"/>
        <c:crosses val="autoZero"/>
        <c:auto val="1"/>
        <c:lblAlgn val="ctr"/>
        <c:lblOffset val="100"/>
        <c:noMultiLvlLbl val="0"/>
      </c:catAx>
      <c:valAx>
        <c:axId val="145832576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145830656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'[Graf2_2_act2018 (2).xlsx]Sheet1'!$B$68</c:f>
              <c:strCache>
                <c:ptCount val="1"/>
                <c:pt idx="0">
                  <c:v>Control de la corrupción</c:v>
                </c:pt>
              </c:strCache>
            </c:strRef>
          </c:tx>
          <c:spPr>
            <a:solidFill>
              <a:srgbClr val="DDE7BA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/>
            </c:spPr>
          </c:dPt>
          <c:dLbls>
            <c:dLbl>
              <c:idx val="1"/>
              <c:layout>
                <c:manualLayout>
                  <c:x val="0"/>
                  <c:y val="2.9516473678510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9516473678510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'[Graf2_2_act2018 (2).xlsx]Sheet1'!$B$69:$B$76</c:f>
              <c:strCache>
                <c:ptCount val="8"/>
                <c:pt idx="0">
                  <c:v>España</c:v>
                </c:pt>
                <c:pt idx="1">
                  <c:v>Reino Unido</c:v>
                </c:pt>
                <c:pt idx="2">
                  <c:v>Alemania</c:v>
                </c:pt>
                <c:pt idx="3">
                  <c:v>Francia</c:v>
                </c:pt>
                <c:pt idx="4">
                  <c:v>Portugal</c:v>
                </c:pt>
                <c:pt idx="5">
                  <c:v>Italia</c:v>
                </c:pt>
                <c:pt idx="6">
                  <c:v>Grecia</c:v>
                </c:pt>
                <c:pt idx="7">
                  <c:v>EE. UU.</c:v>
                </c:pt>
              </c:strCache>
            </c:strRef>
          </c:cat>
          <c:val>
            <c:numRef>
              <c:f>'[Graf2_2_act2018 (2).xlsx]Sheet1'!$C$69:$C$76</c:f>
              <c:numCache>
                <c:formatCode>0.00</c:formatCode>
                <c:ptCount val="8"/>
                <c:pt idx="0">
                  <c:v>5.9839406609535217</c:v>
                </c:pt>
                <c:pt idx="1">
                  <c:v>8.6866028308868408</c:v>
                </c:pt>
                <c:pt idx="2">
                  <c:v>8.6820952892303467</c:v>
                </c:pt>
                <c:pt idx="3">
                  <c:v>7.519092321395874</c:v>
                </c:pt>
                <c:pt idx="4">
                  <c:v>6.7481529712676966</c:v>
                </c:pt>
                <c:pt idx="5">
                  <c:v>5.3777140974998456</c:v>
                </c:pt>
                <c:pt idx="6">
                  <c:v>4.7239410281181327</c:v>
                </c:pt>
                <c:pt idx="7">
                  <c:v>7.7625668048858643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09088"/>
        <c:axId val="164010624"/>
      </c:barChart>
      <c:catAx>
        <c:axId val="1640090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64010624"/>
        <c:crosses val="autoZero"/>
        <c:auto val="1"/>
        <c:lblAlgn val="ctr"/>
        <c:lblOffset val="100"/>
        <c:noMultiLvlLbl val="0"/>
      </c:catAx>
      <c:valAx>
        <c:axId val="164010624"/>
        <c:scaling>
          <c:orientation val="minMax"/>
          <c:max val="9"/>
          <c:min val="4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164009088"/>
        <c:crosses val="autoZero"/>
        <c:crossBetween val="between"/>
        <c:majorUnit val="1"/>
      </c:valAx>
      <c:spPr>
        <a:ln w="12700"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TradeGothic-Light" pitchFamily="34" charset="0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7575-8211-4F98-8A17-87FE5A9D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Ivie</cp:lastModifiedBy>
  <cp:revision>3</cp:revision>
  <cp:lastPrinted>2018-10-25T13:05:00Z</cp:lastPrinted>
  <dcterms:created xsi:type="dcterms:W3CDTF">2018-10-25T13:04:00Z</dcterms:created>
  <dcterms:modified xsi:type="dcterms:W3CDTF">2018-10-25T13:09:00Z</dcterms:modified>
</cp:coreProperties>
</file>